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overflowPunct/>
        <w:topLinePunct w:val="0"/>
        <w:autoSpaceDE/>
        <w:autoSpaceDN w:val="0"/>
        <w:bidi w:val="0"/>
        <w:adjustRightInd/>
        <w:snapToGrid/>
        <w:spacing w:line="240" w:lineRule="auto"/>
        <w:jc w:val="center"/>
        <w:textAlignment w:val="auto"/>
        <w:rPr>
          <w:rFonts w:ascii="宋体" w:hAnsi="宋体" w:eastAsia="方正小标宋简体"/>
          <w:b w:val="0"/>
          <w:bCs/>
          <w:color w:val="auto"/>
          <w:sz w:val="44"/>
          <w:szCs w:val="44"/>
        </w:rPr>
      </w:pPr>
      <w:r>
        <w:rPr>
          <w:rFonts w:hint="eastAsia" w:asciiTheme="minorEastAsia" w:hAnsiTheme="minorEastAsia" w:eastAsiaTheme="minorEastAsia" w:cstheme="minorEastAsia"/>
          <w:b w:val="0"/>
          <w:bCs/>
          <w:color w:val="auto"/>
          <w:sz w:val="44"/>
          <w:szCs w:val="44"/>
        </w:rPr>
        <w:t>晋中市</w:t>
      </w:r>
      <w:r>
        <w:rPr>
          <w:rFonts w:hint="eastAsia" w:asciiTheme="minorEastAsia" w:hAnsiTheme="minorEastAsia" w:eastAsiaTheme="minorEastAsia" w:cstheme="minorEastAsia"/>
          <w:b w:val="0"/>
          <w:bCs/>
          <w:color w:val="auto"/>
          <w:sz w:val="44"/>
          <w:szCs w:val="44"/>
          <w:lang w:val="en-US" w:eastAsia="zh-CN"/>
        </w:rPr>
        <w:t>科技研发</w:t>
      </w:r>
      <w:r>
        <w:rPr>
          <w:rFonts w:hint="eastAsia" w:asciiTheme="minorEastAsia" w:hAnsiTheme="minorEastAsia" w:eastAsiaTheme="minorEastAsia" w:cstheme="minorEastAsia"/>
          <w:b w:val="0"/>
          <w:bCs/>
          <w:color w:val="auto"/>
          <w:sz w:val="44"/>
          <w:szCs w:val="44"/>
        </w:rPr>
        <w:t>资金管理办法</w:t>
      </w:r>
    </w:p>
    <w:p>
      <w:pPr>
        <w:keepNext w:val="0"/>
        <w:keepLines w:val="0"/>
        <w:pageBreakBefore w:val="0"/>
        <w:widowControl w:val="0"/>
        <w:kinsoku/>
        <w:overflowPunct/>
        <w:topLinePunct w:val="0"/>
        <w:autoSpaceDE/>
        <w:autoSpaceDN w:val="0"/>
        <w:bidi w:val="0"/>
        <w:adjustRightInd/>
        <w:snapToGrid/>
        <w:spacing w:line="240" w:lineRule="auto"/>
        <w:jc w:val="center"/>
        <w:textAlignment w:val="auto"/>
        <w:rPr>
          <w:rFonts w:ascii="仿宋" w:hAnsi="仿宋" w:eastAsia="仿宋" w:cs="仿宋_GB2312"/>
          <w:b w:val="0"/>
          <w:bCs/>
          <w:color w:val="auto"/>
          <w:sz w:val="32"/>
          <w:szCs w:val="32"/>
        </w:rPr>
      </w:pPr>
      <w:r>
        <w:rPr>
          <w:rFonts w:hint="eastAsia" w:ascii="仿宋" w:hAnsi="仿宋" w:eastAsia="仿宋" w:cs="仿宋_GB2312"/>
          <w:b w:val="0"/>
          <w:bCs/>
          <w:color w:val="auto"/>
          <w:sz w:val="32"/>
          <w:szCs w:val="32"/>
        </w:rPr>
        <w:t xml:space="preserve"> （</w:t>
      </w:r>
      <w:r>
        <w:rPr>
          <w:rFonts w:hint="eastAsia" w:ascii="仿宋" w:hAnsi="仿宋" w:eastAsia="仿宋" w:cs="仿宋_GB2312"/>
          <w:b w:val="0"/>
          <w:bCs/>
          <w:color w:val="auto"/>
          <w:sz w:val="32"/>
          <w:szCs w:val="32"/>
          <w:lang w:eastAsia="zh-CN"/>
        </w:rPr>
        <w:t>送审</w:t>
      </w:r>
      <w:bookmarkStart w:id="0" w:name="_GoBack"/>
      <w:bookmarkEnd w:id="0"/>
      <w:r>
        <w:rPr>
          <w:rFonts w:hint="eastAsia" w:ascii="仿宋" w:hAnsi="仿宋" w:eastAsia="仿宋" w:cs="仿宋_GB2312"/>
          <w:b w:val="0"/>
          <w:bCs/>
          <w:color w:val="auto"/>
          <w:sz w:val="32"/>
          <w:szCs w:val="32"/>
        </w:rPr>
        <w:t>稿）</w:t>
      </w:r>
    </w:p>
    <w:p>
      <w:pPr>
        <w:keepNext w:val="0"/>
        <w:keepLines w:val="0"/>
        <w:pageBreakBefore w:val="0"/>
        <w:widowControl w:val="0"/>
        <w:kinsoku/>
        <w:overflowPunct/>
        <w:topLinePunct w:val="0"/>
        <w:autoSpaceDE/>
        <w:autoSpaceDN w:val="0"/>
        <w:bidi w:val="0"/>
        <w:adjustRightInd/>
        <w:snapToGrid/>
        <w:spacing w:line="240" w:lineRule="auto"/>
        <w:jc w:val="center"/>
        <w:textAlignment w:val="auto"/>
        <w:rPr>
          <w:rFonts w:ascii="仿宋_GB2312" w:hAnsi="仿宋_GB2312" w:eastAsia="黑体" w:cs="仿宋_GB2312"/>
          <w:b w:val="0"/>
          <w:bCs/>
          <w:color w:val="auto"/>
          <w:sz w:val="32"/>
          <w:szCs w:val="32"/>
        </w:rPr>
      </w:pPr>
    </w:p>
    <w:p>
      <w:pPr>
        <w:keepNext w:val="0"/>
        <w:keepLines w:val="0"/>
        <w:pageBreakBefore w:val="0"/>
        <w:widowControl w:val="0"/>
        <w:kinsoku/>
        <w:overflowPunct/>
        <w:topLinePunct w:val="0"/>
        <w:autoSpaceDE/>
        <w:autoSpaceDN w:val="0"/>
        <w:bidi w:val="0"/>
        <w:adjustRightInd/>
        <w:snapToGrid/>
        <w:spacing w:line="240" w:lineRule="auto"/>
        <w:jc w:val="center"/>
        <w:textAlignment w:val="auto"/>
        <w:rPr>
          <w:rFonts w:ascii="仿宋" w:hAnsi="仿宋" w:eastAsia="仿宋" w:cs="宋体"/>
          <w:b w:val="0"/>
          <w:bCs/>
          <w:color w:val="auto"/>
          <w:kern w:val="0"/>
          <w:sz w:val="32"/>
          <w:szCs w:val="32"/>
        </w:rPr>
      </w:pPr>
      <w:r>
        <w:rPr>
          <w:rFonts w:hint="eastAsia" w:ascii="仿宋_GB2312" w:hAnsi="仿宋_GB2312" w:eastAsia="黑体" w:cs="仿宋_GB2312"/>
          <w:b w:val="0"/>
          <w:bCs/>
          <w:color w:val="auto"/>
          <w:sz w:val="32"/>
          <w:szCs w:val="32"/>
        </w:rPr>
        <w:t>第一章  总 则</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ascii="仿宋" w:hAnsi="仿宋" w:eastAsia="仿宋" w:cs="宋体"/>
          <w:b w:val="0"/>
          <w:bCs/>
          <w:color w:val="auto"/>
          <w:kern w:val="0"/>
          <w:sz w:val="32"/>
          <w:szCs w:val="32"/>
        </w:rPr>
      </w:pPr>
      <w:r>
        <w:rPr>
          <w:rFonts w:hint="eastAsia" w:ascii="楷体" w:hAnsi="楷体" w:eastAsia="楷体" w:cs="宋体"/>
          <w:b w:val="0"/>
          <w:bCs/>
          <w:color w:val="auto"/>
          <w:kern w:val="0"/>
          <w:sz w:val="32"/>
          <w:szCs w:val="32"/>
        </w:rPr>
        <w:t>第一条</w:t>
      </w:r>
      <w:r>
        <w:rPr>
          <w:rFonts w:hint="eastAsia" w:ascii="楷体" w:hAnsi="楷体" w:eastAsia="楷体" w:cs="宋体"/>
          <w:b w:val="0"/>
          <w:bCs/>
          <w:color w:val="auto"/>
          <w:kern w:val="0"/>
          <w:sz w:val="32"/>
          <w:szCs w:val="32"/>
          <w:lang w:val="en-US" w:eastAsia="zh-CN"/>
        </w:rPr>
        <w:t xml:space="preserve">  </w:t>
      </w:r>
      <w:r>
        <w:rPr>
          <w:rFonts w:hint="eastAsia" w:ascii="仿宋" w:hAnsi="仿宋" w:eastAsia="仿宋" w:cs="宋体"/>
          <w:b w:val="0"/>
          <w:bCs/>
          <w:color w:val="auto"/>
          <w:kern w:val="0"/>
          <w:sz w:val="32"/>
          <w:szCs w:val="32"/>
        </w:rPr>
        <w:t>为</w:t>
      </w:r>
      <w:r>
        <w:rPr>
          <w:rFonts w:hint="eastAsia" w:ascii="仿宋" w:hAnsi="仿宋" w:eastAsia="仿宋" w:cs="宋体"/>
          <w:b w:val="0"/>
          <w:bCs/>
          <w:color w:val="auto"/>
          <w:kern w:val="0"/>
          <w:sz w:val="32"/>
          <w:szCs w:val="32"/>
          <w:lang w:val="en-US" w:eastAsia="zh-CN"/>
        </w:rPr>
        <w:t>加强</w:t>
      </w:r>
      <w:r>
        <w:rPr>
          <w:rFonts w:hint="eastAsia" w:ascii="仿宋" w:hAnsi="仿宋" w:eastAsia="仿宋" w:cs="宋体"/>
          <w:b w:val="0"/>
          <w:bCs/>
          <w:color w:val="auto"/>
          <w:kern w:val="0"/>
          <w:sz w:val="32"/>
          <w:szCs w:val="32"/>
        </w:rPr>
        <w:t>市级</w:t>
      </w:r>
      <w:r>
        <w:rPr>
          <w:rFonts w:hint="eastAsia" w:ascii="仿宋" w:hAnsi="仿宋" w:eastAsia="仿宋" w:cs="宋体"/>
          <w:b w:val="0"/>
          <w:bCs/>
          <w:color w:val="auto"/>
          <w:kern w:val="0"/>
          <w:sz w:val="32"/>
          <w:szCs w:val="32"/>
          <w:lang w:eastAsia="zh-CN"/>
        </w:rPr>
        <w:t>科技研发资金</w:t>
      </w:r>
      <w:r>
        <w:rPr>
          <w:rFonts w:hint="eastAsia" w:ascii="仿宋" w:hAnsi="仿宋" w:eastAsia="仿宋" w:cs="宋体"/>
          <w:b w:val="0"/>
          <w:bCs/>
          <w:color w:val="auto"/>
          <w:kern w:val="0"/>
          <w:sz w:val="32"/>
          <w:szCs w:val="32"/>
        </w:rPr>
        <w:t>管理，</w:t>
      </w:r>
      <w:r>
        <w:rPr>
          <w:rFonts w:hint="eastAsia" w:ascii="仿宋" w:hAnsi="仿宋" w:eastAsia="仿宋" w:cs="宋体"/>
          <w:b w:val="0"/>
          <w:bCs/>
          <w:color w:val="auto"/>
          <w:kern w:val="0"/>
          <w:sz w:val="32"/>
          <w:szCs w:val="32"/>
          <w:lang w:val="en-US" w:eastAsia="zh-CN"/>
        </w:rPr>
        <w:t>提高财政专项资金使用效益</w:t>
      </w:r>
      <w:r>
        <w:rPr>
          <w:rFonts w:hint="eastAsia" w:ascii="仿宋" w:hAnsi="仿宋" w:eastAsia="仿宋" w:cs="宋体"/>
          <w:b w:val="0"/>
          <w:bCs/>
          <w:color w:val="auto"/>
          <w:kern w:val="0"/>
          <w:sz w:val="32"/>
          <w:szCs w:val="32"/>
        </w:rPr>
        <w:t>，激发</w:t>
      </w:r>
      <w:r>
        <w:rPr>
          <w:rFonts w:hint="eastAsia" w:ascii="仿宋" w:hAnsi="仿宋" w:eastAsia="仿宋" w:cs="宋体"/>
          <w:b w:val="0"/>
          <w:bCs/>
          <w:color w:val="auto"/>
          <w:kern w:val="0"/>
          <w:sz w:val="32"/>
          <w:szCs w:val="32"/>
          <w:lang w:val="en-US" w:eastAsia="zh-CN"/>
        </w:rPr>
        <w:t>科技</w:t>
      </w:r>
      <w:r>
        <w:rPr>
          <w:rFonts w:hint="eastAsia" w:ascii="仿宋" w:hAnsi="仿宋" w:eastAsia="仿宋" w:cs="宋体"/>
          <w:b w:val="0"/>
          <w:bCs/>
          <w:color w:val="auto"/>
          <w:kern w:val="0"/>
          <w:sz w:val="32"/>
          <w:szCs w:val="32"/>
        </w:rPr>
        <w:t>创新积极性，根据《国务院办公厅关于改革完善中央财政科研经费管理的若干意见》（国办发〔2021〕32号）和《山西省人民政府办公厅关于改革完善省级财政科研经费管理的若干意见》（晋政办发〔2022〕16号）精神，结合我市实际，制定本办法。</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ascii="仿宋" w:hAnsi="仿宋" w:eastAsia="仿宋" w:cs="微软雅黑"/>
          <w:b w:val="0"/>
          <w:bCs/>
          <w:color w:val="auto"/>
          <w:sz w:val="32"/>
          <w:szCs w:val="32"/>
          <w:shd w:val="clear" w:color="auto" w:fill="FFFFFF"/>
        </w:rPr>
      </w:pPr>
      <w:r>
        <w:rPr>
          <w:rFonts w:hint="eastAsia" w:ascii="楷体" w:hAnsi="楷体" w:eastAsia="楷体" w:cs="仿宋_GB2312"/>
          <w:b w:val="0"/>
          <w:bCs/>
          <w:color w:val="auto"/>
          <w:sz w:val="32"/>
          <w:szCs w:val="32"/>
        </w:rPr>
        <w:t>第二条</w:t>
      </w:r>
      <w:r>
        <w:rPr>
          <w:rFonts w:hint="eastAsia" w:ascii="仿宋_GB2312" w:hAnsi="仿宋_GB2312" w:eastAsia="仿宋_GB2312" w:cs="仿宋_GB2312"/>
          <w:b w:val="0"/>
          <w:bCs/>
          <w:color w:val="auto"/>
          <w:sz w:val="32"/>
          <w:szCs w:val="32"/>
        </w:rPr>
        <w:t xml:space="preserve"> </w:t>
      </w:r>
      <w:r>
        <w:rPr>
          <w:rFonts w:hint="eastAsia" w:ascii="仿宋" w:hAnsi="仿宋" w:eastAsia="仿宋" w:cs="仿宋_GB2312"/>
          <w:b w:val="0"/>
          <w:bCs/>
          <w:color w:val="auto"/>
          <w:sz w:val="32"/>
          <w:szCs w:val="32"/>
        </w:rPr>
        <w:t xml:space="preserve"> 本办法所称</w:t>
      </w:r>
      <w:r>
        <w:rPr>
          <w:rFonts w:hint="eastAsia" w:ascii="仿宋" w:hAnsi="仿宋" w:eastAsia="仿宋" w:cs="仿宋_GB2312"/>
          <w:b w:val="0"/>
          <w:bCs/>
          <w:color w:val="auto"/>
          <w:sz w:val="32"/>
          <w:szCs w:val="32"/>
          <w:lang w:val="en-US" w:eastAsia="zh-CN"/>
        </w:rPr>
        <w:t>晋中</w:t>
      </w:r>
      <w:r>
        <w:rPr>
          <w:rFonts w:hint="eastAsia" w:ascii="仿宋" w:hAnsi="仿宋" w:eastAsia="仿宋" w:cs="仿宋_GB2312"/>
          <w:b w:val="0"/>
          <w:bCs/>
          <w:color w:val="auto"/>
          <w:sz w:val="32"/>
          <w:szCs w:val="32"/>
        </w:rPr>
        <w:t>市科技研发资金（以下简称科技研发资金），指由市级财政安排的专项资金，专门用于支持人才类、技术研发、成果产业化以及其他与科技创新能力提升相关的活动。</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ascii="仿宋" w:hAnsi="仿宋" w:eastAsia="仿宋" w:cs="微软雅黑"/>
          <w:b w:val="0"/>
          <w:bCs/>
          <w:color w:val="auto"/>
          <w:sz w:val="32"/>
          <w:szCs w:val="32"/>
          <w:shd w:val="clear" w:color="auto" w:fill="FFFFFF"/>
        </w:rPr>
      </w:pPr>
      <w:r>
        <w:rPr>
          <w:rFonts w:hint="eastAsia" w:ascii="楷体" w:hAnsi="楷体" w:eastAsia="楷体" w:cs="微软雅黑"/>
          <w:b w:val="0"/>
          <w:bCs/>
          <w:color w:val="auto"/>
          <w:sz w:val="32"/>
          <w:szCs w:val="32"/>
          <w:shd w:val="clear" w:color="auto" w:fill="FFFFFF"/>
        </w:rPr>
        <w:t>第三条</w:t>
      </w:r>
      <w:r>
        <w:rPr>
          <w:rFonts w:hint="eastAsia" w:ascii="楷体" w:hAnsi="楷体" w:eastAsia="楷体" w:cs="微软雅黑"/>
          <w:b w:val="0"/>
          <w:bCs/>
          <w:color w:val="auto"/>
          <w:sz w:val="32"/>
          <w:szCs w:val="32"/>
          <w:shd w:val="clear" w:color="auto" w:fill="FFFFFF"/>
          <w:lang w:val="en-US" w:eastAsia="zh-CN"/>
        </w:rPr>
        <w:t xml:space="preserve">  </w:t>
      </w:r>
      <w:r>
        <w:rPr>
          <w:rFonts w:hint="eastAsia" w:ascii="仿宋" w:hAnsi="仿宋" w:eastAsia="仿宋"/>
          <w:b w:val="0"/>
          <w:bCs/>
          <w:color w:val="auto"/>
          <w:sz w:val="32"/>
          <w:szCs w:val="32"/>
        </w:rPr>
        <w:t>科技研发资金管理遵循突出重点</w:t>
      </w:r>
      <w:r>
        <w:rPr>
          <w:rFonts w:hint="eastAsia" w:ascii="仿宋" w:hAnsi="仿宋" w:eastAsia="仿宋"/>
          <w:b w:val="0"/>
          <w:bCs/>
          <w:color w:val="auto"/>
          <w:sz w:val="32"/>
          <w:szCs w:val="32"/>
          <w:lang w:eastAsia="zh-CN"/>
        </w:rPr>
        <w:t>、</w:t>
      </w:r>
      <w:r>
        <w:rPr>
          <w:rFonts w:hint="eastAsia" w:ascii="仿宋" w:hAnsi="仿宋" w:eastAsia="仿宋"/>
          <w:b w:val="0"/>
          <w:bCs/>
          <w:color w:val="auto"/>
          <w:sz w:val="32"/>
          <w:szCs w:val="32"/>
        </w:rPr>
        <w:t>科学规范、公正透明、注重绩效的原则。</w:t>
      </w:r>
      <w:r>
        <w:rPr>
          <w:rFonts w:hint="eastAsia" w:ascii="仿宋" w:hAnsi="仿宋" w:eastAsia="仿宋" w:cs="微软雅黑"/>
          <w:b w:val="0"/>
          <w:bCs/>
          <w:color w:val="auto"/>
          <w:sz w:val="32"/>
          <w:szCs w:val="32"/>
          <w:shd w:val="clear" w:color="auto" w:fill="FFFFFF"/>
        </w:rPr>
        <w:t xml:space="preserve"> </w:t>
      </w:r>
    </w:p>
    <w:p>
      <w:pPr>
        <w:keepNext w:val="0"/>
        <w:keepLines w:val="0"/>
        <w:pageBreakBefore w:val="0"/>
        <w:widowControl w:val="0"/>
        <w:kinsoku/>
        <w:overflowPunct/>
        <w:topLinePunct w:val="0"/>
        <w:autoSpaceDE/>
        <w:autoSpaceDN w:val="0"/>
        <w:bidi w:val="0"/>
        <w:adjustRightInd/>
        <w:snapToGrid/>
        <w:spacing w:line="240" w:lineRule="auto"/>
        <w:jc w:val="center"/>
        <w:textAlignment w:val="auto"/>
        <w:rPr>
          <w:rFonts w:hint="eastAsia" w:ascii="仿宋_GB2312" w:hAnsi="仿宋_GB2312" w:eastAsia="黑体" w:cs="仿宋_GB2312"/>
          <w:b w:val="0"/>
          <w:bCs/>
          <w:color w:val="auto"/>
          <w:sz w:val="32"/>
          <w:szCs w:val="32"/>
        </w:rPr>
      </w:pPr>
      <w:r>
        <w:rPr>
          <w:rFonts w:hint="eastAsia" w:ascii="仿宋_GB2312" w:hAnsi="仿宋_GB2312" w:eastAsia="黑体" w:cs="仿宋_GB2312"/>
          <w:b w:val="0"/>
          <w:bCs/>
          <w:color w:val="auto"/>
          <w:sz w:val="32"/>
          <w:szCs w:val="32"/>
        </w:rPr>
        <w:t>第二章  管理职责及分工</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楷体" w:hAnsi="楷体" w:eastAsia="楷体" w:cs="微软雅黑"/>
          <w:b w:val="0"/>
          <w:bCs/>
          <w:color w:val="auto"/>
          <w:sz w:val="32"/>
          <w:szCs w:val="32"/>
          <w:shd w:val="clear" w:color="auto" w:fill="FFFFFF"/>
        </w:rPr>
        <w:t>第四条</w:t>
      </w:r>
      <w:r>
        <w:rPr>
          <w:rFonts w:hint="eastAsia" w:ascii="楷体" w:hAnsi="楷体" w:eastAsia="楷体" w:cs="微软雅黑"/>
          <w:b w:val="0"/>
          <w:bCs/>
          <w:color w:val="auto"/>
          <w:sz w:val="32"/>
          <w:szCs w:val="32"/>
          <w:shd w:val="clear" w:color="auto" w:fill="FFFFFF"/>
          <w:lang w:val="en-US" w:eastAsia="zh-CN"/>
        </w:rPr>
        <w:t xml:space="preserve">  </w:t>
      </w:r>
      <w:r>
        <w:rPr>
          <w:rFonts w:hint="eastAsia" w:ascii="仿宋" w:hAnsi="仿宋" w:eastAsia="仿宋" w:cs="仿宋_GB2312"/>
          <w:b w:val="0"/>
          <w:bCs/>
          <w:color w:val="auto"/>
          <w:sz w:val="32"/>
          <w:szCs w:val="32"/>
        </w:rPr>
        <w:t>市</w:t>
      </w:r>
      <w:r>
        <w:rPr>
          <w:rFonts w:hint="eastAsia" w:ascii="仿宋" w:hAnsi="仿宋" w:eastAsia="仿宋" w:cs="仿宋_GB2312"/>
          <w:b w:val="0"/>
          <w:bCs/>
          <w:color w:val="auto"/>
          <w:sz w:val="32"/>
          <w:szCs w:val="32"/>
          <w:lang w:eastAsia="zh-CN"/>
        </w:rPr>
        <w:t>科技部门</w:t>
      </w:r>
      <w:r>
        <w:rPr>
          <w:rFonts w:hint="eastAsia" w:ascii="仿宋" w:hAnsi="仿宋" w:eastAsia="仿宋" w:cs="仿宋_GB2312"/>
          <w:b w:val="0"/>
          <w:bCs/>
          <w:color w:val="auto"/>
          <w:sz w:val="32"/>
          <w:szCs w:val="32"/>
        </w:rPr>
        <w:t>负责科技研发资金的管理及执行，负责开展以下工作：</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（一）制定科技研发资金管理制度，规范审批程序，建立健全内部管理和监督制度；</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（二）</w:t>
      </w:r>
      <w:r>
        <w:rPr>
          <w:rFonts w:hint="eastAsia" w:ascii="仿宋" w:hAnsi="仿宋" w:eastAsia="仿宋" w:cs="仿宋_GB2312"/>
          <w:b w:val="0"/>
          <w:bCs/>
          <w:color w:val="auto"/>
          <w:sz w:val="32"/>
          <w:szCs w:val="32"/>
          <w:lang w:eastAsia="zh-CN"/>
        </w:rPr>
        <w:t>申报</w:t>
      </w:r>
      <w:r>
        <w:rPr>
          <w:rFonts w:hint="eastAsia" w:ascii="仿宋" w:hAnsi="仿宋" w:eastAsia="仿宋" w:cs="仿宋_GB2312"/>
          <w:b w:val="0"/>
          <w:bCs/>
          <w:color w:val="auto"/>
          <w:sz w:val="32"/>
          <w:szCs w:val="32"/>
        </w:rPr>
        <w:t>科技研发资金设立、续期、调整和撤销；</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（三）编制科技研发资金目录和预算</w:t>
      </w:r>
      <w:r>
        <w:rPr>
          <w:rFonts w:hint="eastAsia" w:ascii="仿宋" w:hAnsi="仿宋" w:eastAsia="仿宋" w:cs="仿宋_GB2312"/>
          <w:b w:val="0"/>
          <w:bCs/>
          <w:color w:val="auto"/>
          <w:sz w:val="32"/>
          <w:szCs w:val="32"/>
          <w:lang w:val="en-US" w:eastAsia="zh-CN"/>
        </w:rPr>
        <w:t>推动</w:t>
      </w:r>
      <w:r>
        <w:rPr>
          <w:rFonts w:hint="eastAsia" w:ascii="仿宋" w:hAnsi="仿宋" w:eastAsia="仿宋" w:cs="仿宋_GB2312"/>
          <w:b w:val="0"/>
          <w:bCs/>
          <w:color w:val="auto"/>
          <w:sz w:val="32"/>
          <w:szCs w:val="32"/>
        </w:rPr>
        <w:t>执行已批复的科技研发资金预算；</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（四）发布科技研发资金管理相关信息，包括申报指南（通知）发布、项目申报、资金拨付、资金退出等；</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（五）储备科技研发资金项目，组织</w:t>
      </w:r>
      <w:r>
        <w:rPr>
          <w:rFonts w:hint="eastAsia" w:ascii="仿宋" w:hAnsi="仿宋" w:eastAsia="仿宋" w:cs="仿宋_GB2312"/>
          <w:b w:val="0"/>
          <w:bCs/>
          <w:color w:val="auto"/>
          <w:sz w:val="32"/>
          <w:szCs w:val="32"/>
          <w:lang w:eastAsia="zh-CN"/>
        </w:rPr>
        <w:t>资金监管、经费</w:t>
      </w:r>
      <w:r>
        <w:rPr>
          <w:rFonts w:hint="eastAsia" w:ascii="仿宋" w:hAnsi="仿宋" w:eastAsia="仿宋" w:cs="仿宋_GB2312"/>
          <w:b w:val="0"/>
          <w:bCs/>
          <w:color w:val="auto"/>
          <w:sz w:val="32"/>
          <w:szCs w:val="32"/>
        </w:rPr>
        <w:t>验收、资金追偿，跟踪、检查科技研发资金的使用和项目实施情况，开展项目重点绩效评价；</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（六）职能范围内的其他工作事项。</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楷体" w:hAnsi="楷体" w:eastAsia="楷体" w:cs="微软雅黑"/>
          <w:b w:val="0"/>
          <w:bCs/>
          <w:color w:val="auto"/>
          <w:sz w:val="32"/>
          <w:szCs w:val="32"/>
          <w:shd w:val="clear" w:color="auto" w:fill="FFFFFF"/>
        </w:rPr>
        <w:t>第五条</w:t>
      </w:r>
      <w:r>
        <w:rPr>
          <w:rFonts w:hint="eastAsia" w:ascii="楷体" w:hAnsi="楷体" w:eastAsia="楷体" w:cs="微软雅黑"/>
          <w:b w:val="0"/>
          <w:bCs/>
          <w:color w:val="auto"/>
          <w:sz w:val="32"/>
          <w:szCs w:val="32"/>
          <w:shd w:val="clear" w:color="auto" w:fill="FFFFFF"/>
          <w:lang w:val="en-US" w:eastAsia="zh-CN"/>
        </w:rPr>
        <w:t xml:space="preserve">  </w:t>
      </w:r>
      <w:r>
        <w:rPr>
          <w:rFonts w:hint="eastAsia" w:ascii="仿宋" w:hAnsi="仿宋" w:eastAsia="仿宋" w:cs="仿宋_GB2312"/>
          <w:b w:val="0"/>
          <w:bCs/>
          <w:color w:val="auto"/>
          <w:sz w:val="32"/>
          <w:szCs w:val="32"/>
        </w:rPr>
        <w:t>市财政部门负责开展以下工作：</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（一）配合市</w:t>
      </w:r>
      <w:r>
        <w:rPr>
          <w:rFonts w:hint="eastAsia" w:ascii="仿宋" w:hAnsi="仿宋" w:eastAsia="仿宋" w:cs="仿宋_GB2312"/>
          <w:b w:val="0"/>
          <w:bCs/>
          <w:color w:val="auto"/>
          <w:sz w:val="32"/>
          <w:szCs w:val="32"/>
          <w:lang w:eastAsia="zh-CN"/>
        </w:rPr>
        <w:t>科技部门</w:t>
      </w:r>
      <w:r>
        <w:rPr>
          <w:rFonts w:hint="eastAsia" w:ascii="仿宋" w:hAnsi="仿宋" w:eastAsia="仿宋" w:cs="仿宋_GB2312"/>
          <w:b w:val="0"/>
          <w:bCs/>
          <w:color w:val="auto"/>
          <w:sz w:val="32"/>
          <w:szCs w:val="32"/>
        </w:rPr>
        <w:t>制定科技研发资金管理办法；</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（二）审核</w:t>
      </w:r>
      <w:r>
        <w:rPr>
          <w:rFonts w:hint="eastAsia" w:ascii="仿宋" w:hAnsi="仿宋" w:eastAsia="仿宋" w:cs="仿宋_GB2312"/>
          <w:b w:val="0"/>
          <w:bCs/>
          <w:color w:val="auto"/>
          <w:sz w:val="32"/>
          <w:szCs w:val="32"/>
          <w:lang w:eastAsia="zh-CN"/>
        </w:rPr>
        <w:t>办理</w:t>
      </w:r>
      <w:r>
        <w:rPr>
          <w:rFonts w:hint="eastAsia" w:ascii="仿宋" w:hAnsi="仿宋" w:eastAsia="仿宋" w:cs="仿宋_GB2312"/>
          <w:b w:val="0"/>
          <w:bCs/>
          <w:color w:val="auto"/>
          <w:sz w:val="32"/>
          <w:szCs w:val="32"/>
        </w:rPr>
        <w:t>科技研发资金的设立、</w:t>
      </w:r>
      <w:r>
        <w:rPr>
          <w:rFonts w:hint="eastAsia" w:ascii="仿宋" w:hAnsi="仿宋" w:eastAsia="仿宋" w:cs="仿宋_GB2312"/>
          <w:b w:val="0"/>
          <w:bCs/>
          <w:color w:val="auto"/>
          <w:sz w:val="32"/>
          <w:szCs w:val="32"/>
          <w:lang w:val="en-US" w:eastAsia="zh-CN"/>
        </w:rPr>
        <w:t>拨付、</w:t>
      </w:r>
      <w:r>
        <w:rPr>
          <w:rFonts w:hint="eastAsia" w:ascii="仿宋" w:hAnsi="仿宋" w:eastAsia="仿宋" w:cs="仿宋_GB2312"/>
          <w:b w:val="0"/>
          <w:bCs/>
          <w:color w:val="auto"/>
          <w:sz w:val="32"/>
          <w:szCs w:val="32"/>
        </w:rPr>
        <w:t>续期、调整和撤销；</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（三）组织开展科技研发资金预决算，安排科技研发资金预算规模，做好科技研发资金的整体调度；</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（四）审核按规定提交的科技研发资金绩效评价报告，组织开展科技研发资金绩效</w:t>
      </w:r>
      <w:r>
        <w:rPr>
          <w:rFonts w:hint="eastAsia" w:ascii="仿宋" w:hAnsi="仿宋" w:eastAsia="仿宋" w:cs="仿宋_GB2312"/>
          <w:b w:val="0"/>
          <w:bCs/>
          <w:color w:val="auto"/>
          <w:sz w:val="32"/>
          <w:szCs w:val="32"/>
          <w:lang w:eastAsia="zh-CN"/>
        </w:rPr>
        <w:t>再</w:t>
      </w:r>
      <w:r>
        <w:rPr>
          <w:rFonts w:hint="eastAsia" w:ascii="仿宋" w:hAnsi="仿宋" w:eastAsia="仿宋" w:cs="仿宋_GB2312"/>
          <w:b w:val="0"/>
          <w:bCs/>
          <w:color w:val="auto"/>
          <w:sz w:val="32"/>
          <w:szCs w:val="32"/>
        </w:rPr>
        <w:t>评价；</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（五）职能范围内的其他工作事项。</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楷体" w:hAnsi="楷体" w:eastAsia="楷体" w:cs="微软雅黑"/>
          <w:b w:val="0"/>
          <w:bCs/>
          <w:color w:val="auto"/>
          <w:sz w:val="32"/>
          <w:szCs w:val="32"/>
          <w:shd w:val="clear" w:color="auto" w:fill="FFFFFF"/>
        </w:rPr>
        <w:t>第</w:t>
      </w:r>
      <w:r>
        <w:rPr>
          <w:rFonts w:hint="eastAsia" w:ascii="楷体" w:hAnsi="楷体" w:eastAsia="楷体" w:cs="微软雅黑"/>
          <w:b w:val="0"/>
          <w:bCs/>
          <w:color w:val="auto"/>
          <w:sz w:val="32"/>
          <w:szCs w:val="32"/>
          <w:shd w:val="clear" w:color="auto" w:fill="FFFFFF"/>
          <w:lang w:eastAsia="zh-CN"/>
        </w:rPr>
        <w:t>六</w:t>
      </w:r>
      <w:r>
        <w:rPr>
          <w:rFonts w:hint="eastAsia" w:ascii="楷体" w:hAnsi="楷体" w:eastAsia="楷体" w:cs="微软雅黑"/>
          <w:b w:val="0"/>
          <w:bCs/>
          <w:color w:val="auto"/>
          <w:sz w:val="32"/>
          <w:szCs w:val="32"/>
          <w:shd w:val="clear" w:color="auto" w:fill="FFFFFF"/>
        </w:rPr>
        <w:t>条</w:t>
      </w:r>
      <w:r>
        <w:rPr>
          <w:rFonts w:hint="eastAsia" w:ascii="楷体" w:hAnsi="楷体" w:eastAsia="楷体" w:cs="微软雅黑"/>
          <w:b w:val="0"/>
          <w:bCs/>
          <w:color w:val="auto"/>
          <w:sz w:val="32"/>
          <w:szCs w:val="32"/>
          <w:shd w:val="clear" w:color="auto" w:fill="FFFFFF"/>
          <w:lang w:val="en-US" w:eastAsia="zh-CN"/>
        </w:rPr>
        <w:t xml:space="preserve">  </w:t>
      </w:r>
      <w:r>
        <w:rPr>
          <w:rFonts w:hint="eastAsia" w:ascii="仿宋" w:hAnsi="仿宋" w:eastAsia="仿宋" w:cs="仿宋_GB2312"/>
          <w:b w:val="0"/>
          <w:bCs/>
          <w:color w:val="auto"/>
          <w:sz w:val="32"/>
          <w:szCs w:val="32"/>
        </w:rPr>
        <w:t>项目组织单位负责配合推进项目立项、检查、验收、绩效评价等工作，协调、处理、上报科研项目经费使用中的有关问题。</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楷体" w:hAnsi="楷体" w:eastAsia="楷体" w:cs="微软雅黑"/>
          <w:b w:val="0"/>
          <w:bCs/>
          <w:color w:val="auto"/>
          <w:sz w:val="32"/>
          <w:szCs w:val="32"/>
          <w:shd w:val="clear" w:color="auto" w:fill="FFFFFF"/>
        </w:rPr>
        <w:t>第</w:t>
      </w:r>
      <w:r>
        <w:rPr>
          <w:rFonts w:hint="eastAsia" w:ascii="楷体" w:hAnsi="楷体" w:eastAsia="楷体" w:cs="微软雅黑"/>
          <w:b w:val="0"/>
          <w:bCs/>
          <w:color w:val="auto"/>
          <w:sz w:val="32"/>
          <w:szCs w:val="32"/>
          <w:shd w:val="clear" w:color="auto" w:fill="FFFFFF"/>
          <w:lang w:eastAsia="zh-CN"/>
        </w:rPr>
        <w:t>七</w:t>
      </w:r>
      <w:r>
        <w:rPr>
          <w:rFonts w:hint="eastAsia" w:ascii="楷体" w:hAnsi="楷体" w:eastAsia="楷体" w:cs="微软雅黑"/>
          <w:b w:val="0"/>
          <w:bCs/>
          <w:color w:val="auto"/>
          <w:sz w:val="32"/>
          <w:szCs w:val="32"/>
          <w:shd w:val="clear" w:color="auto" w:fill="FFFFFF"/>
        </w:rPr>
        <w:t>条</w:t>
      </w:r>
      <w:r>
        <w:rPr>
          <w:rFonts w:hint="eastAsia" w:ascii="楷体" w:hAnsi="楷体" w:eastAsia="楷体" w:cs="微软雅黑"/>
          <w:b w:val="0"/>
          <w:bCs/>
          <w:color w:val="auto"/>
          <w:sz w:val="32"/>
          <w:szCs w:val="32"/>
          <w:shd w:val="clear" w:color="auto" w:fill="FFFFFF"/>
          <w:lang w:val="en-US" w:eastAsia="zh-CN"/>
        </w:rPr>
        <w:t xml:space="preserve">  </w:t>
      </w:r>
      <w:r>
        <w:rPr>
          <w:rFonts w:hint="eastAsia" w:ascii="仿宋" w:hAnsi="仿宋" w:eastAsia="仿宋" w:cs="仿宋_GB2312"/>
          <w:b w:val="0"/>
          <w:bCs/>
          <w:color w:val="auto"/>
          <w:sz w:val="32"/>
          <w:szCs w:val="32"/>
          <w:lang w:eastAsia="zh-CN"/>
        </w:rPr>
        <w:t>项目单位</w:t>
      </w:r>
      <w:r>
        <w:rPr>
          <w:rFonts w:hint="eastAsia" w:ascii="仿宋" w:hAnsi="仿宋" w:eastAsia="仿宋" w:cs="仿宋_GB2312"/>
          <w:b w:val="0"/>
          <w:bCs/>
          <w:color w:val="auto"/>
          <w:sz w:val="32"/>
          <w:szCs w:val="32"/>
        </w:rPr>
        <w:t>是科技研发资金使用和管理的责任主体，应当履行以下责任：</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（一）按照规定申报项目，编制项目预算，并且对资金项目申报材料的真实性、完整性、有效性和合法性承担责任；</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（二）建立健全内部风险防控机制和资金使用绩效评价制度，及时开展绩效自评，保障资金使用安全规范有效；</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（三）</w:t>
      </w:r>
      <w:r>
        <w:rPr>
          <w:rFonts w:hint="eastAsia" w:ascii="仿宋" w:hAnsi="仿宋" w:eastAsia="仿宋" w:cs="仿宋_GB2312"/>
          <w:b w:val="0"/>
          <w:bCs/>
          <w:color w:val="auto"/>
          <w:sz w:val="32"/>
          <w:szCs w:val="32"/>
          <w:lang w:eastAsia="zh-CN"/>
        </w:rPr>
        <w:t>制定间接费用使用管理办法和制度等，</w:t>
      </w:r>
      <w:r>
        <w:rPr>
          <w:rFonts w:hint="eastAsia" w:ascii="仿宋" w:hAnsi="仿宋" w:eastAsia="仿宋" w:cs="仿宋_GB2312"/>
          <w:b w:val="0"/>
          <w:bCs/>
          <w:color w:val="auto"/>
          <w:sz w:val="32"/>
          <w:szCs w:val="32"/>
        </w:rPr>
        <w:t>落实批准的项目预算中的自筹经费，对资金进行管理和会计核算；</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（四）配合</w:t>
      </w:r>
      <w:r>
        <w:rPr>
          <w:rFonts w:hint="eastAsia" w:ascii="仿宋" w:hAnsi="仿宋" w:eastAsia="仿宋" w:cs="仿宋_GB2312"/>
          <w:b w:val="0"/>
          <w:bCs/>
          <w:color w:val="auto"/>
          <w:sz w:val="32"/>
          <w:szCs w:val="32"/>
          <w:lang w:eastAsia="zh-CN"/>
        </w:rPr>
        <w:t>科技部门</w:t>
      </w:r>
      <w:r>
        <w:rPr>
          <w:rFonts w:hint="eastAsia" w:ascii="仿宋" w:hAnsi="仿宋" w:eastAsia="仿宋" w:cs="仿宋_GB2312"/>
          <w:b w:val="0"/>
          <w:bCs/>
          <w:color w:val="auto"/>
          <w:sz w:val="32"/>
          <w:szCs w:val="32"/>
        </w:rPr>
        <w:t>、财政部门、审计部门、纪检监察部门及其授权委托机构的监督检查，按照要求提供项目预算执行情况的报告、</w:t>
      </w:r>
      <w:r>
        <w:rPr>
          <w:rFonts w:hint="eastAsia" w:ascii="仿宋" w:hAnsi="仿宋" w:eastAsia="仿宋" w:cs="仿宋_GB2312"/>
          <w:b w:val="0"/>
          <w:bCs/>
          <w:color w:val="auto"/>
          <w:sz w:val="32"/>
          <w:szCs w:val="32"/>
          <w:lang w:eastAsia="zh-CN"/>
        </w:rPr>
        <w:t>经费使用情况报告、使用明细及票据凭证</w:t>
      </w:r>
      <w:r>
        <w:rPr>
          <w:rFonts w:hint="eastAsia" w:ascii="仿宋" w:hAnsi="仿宋" w:eastAsia="仿宋" w:cs="仿宋_GB2312"/>
          <w:b w:val="0"/>
          <w:bCs/>
          <w:color w:val="auto"/>
          <w:sz w:val="32"/>
          <w:szCs w:val="32"/>
        </w:rPr>
        <w:t>等相关材料；</w:t>
      </w:r>
    </w:p>
    <w:p>
      <w:pPr>
        <w:keepNext w:val="0"/>
        <w:keepLines w:val="0"/>
        <w:pageBreakBefore w:val="0"/>
        <w:widowControl w:val="0"/>
        <w:kinsoku/>
        <w:wordWrap w:val="0"/>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仿宋" w:hAnsi="仿宋" w:eastAsia="仿宋" w:cs="仿宋_GB2312"/>
          <w:b w:val="0"/>
          <w:bCs/>
          <w:color w:val="auto"/>
          <w:sz w:val="32"/>
          <w:szCs w:val="32"/>
        </w:rPr>
        <w:t>（五）落实</w:t>
      </w:r>
      <w:r>
        <w:rPr>
          <w:rFonts w:hint="eastAsia" w:ascii="仿宋" w:hAnsi="仿宋" w:eastAsia="仿宋" w:cs="仿宋_GB2312"/>
          <w:b w:val="0"/>
          <w:bCs/>
          <w:color w:val="auto"/>
          <w:sz w:val="32"/>
          <w:szCs w:val="32"/>
          <w:lang w:eastAsia="zh-CN"/>
        </w:rPr>
        <w:t>科技部门</w:t>
      </w:r>
      <w:r>
        <w:rPr>
          <w:rFonts w:hint="eastAsia" w:ascii="仿宋" w:hAnsi="仿宋" w:eastAsia="仿宋" w:cs="仿宋_GB2312"/>
          <w:b w:val="0"/>
          <w:bCs/>
          <w:color w:val="auto"/>
          <w:sz w:val="32"/>
          <w:szCs w:val="32"/>
        </w:rPr>
        <w:t>、财政部门的其他相关工作要求。</w:t>
      </w:r>
    </w:p>
    <w:p>
      <w:pPr>
        <w:keepNext w:val="0"/>
        <w:keepLines w:val="0"/>
        <w:pageBreakBefore w:val="0"/>
        <w:widowControl w:val="0"/>
        <w:kinsoku/>
        <w:overflowPunct/>
        <w:topLinePunct w:val="0"/>
        <w:autoSpaceDE/>
        <w:autoSpaceDN w:val="0"/>
        <w:bidi w:val="0"/>
        <w:adjustRightInd/>
        <w:snapToGrid/>
        <w:spacing w:line="240" w:lineRule="auto"/>
        <w:jc w:val="center"/>
        <w:textAlignment w:val="auto"/>
        <w:rPr>
          <w:rFonts w:hint="eastAsia" w:ascii="仿宋_GB2312" w:hAnsi="仿宋_GB2312" w:eastAsia="黑体" w:cs="仿宋_GB2312"/>
          <w:b w:val="0"/>
          <w:bCs/>
          <w:color w:val="auto"/>
          <w:sz w:val="32"/>
          <w:szCs w:val="32"/>
        </w:rPr>
      </w:pPr>
      <w:r>
        <w:rPr>
          <w:rFonts w:hint="eastAsia" w:ascii="仿宋_GB2312" w:hAnsi="仿宋_GB2312" w:eastAsia="黑体" w:cs="仿宋_GB2312"/>
          <w:b w:val="0"/>
          <w:bCs/>
          <w:color w:val="auto"/>
          <w:sz w:val="32"/>
          <w:szCs w:val="32"/>
        </w:rPr>
        <w:t>第三章</w:t>
      </w:r>
      <w:r>
        <w:rPr>
          <w:rFonts w:hint="eastAsia" w:ascii="仿宋_GB2312" w:hAnsi="仿宋_GB2312" w:eastAsia="黑体" w:cs="仿宋_GB2312"/>
          <w:b w:val="0"/>
          <w:bCs/>
          <w:color w:val="auto"/>
          <w:sz w:val="32"/>
          <w:szCs w:val="32"/>
          <w:lang w:val="en-US" w:eastAsia="zh-CN"/>
        </w:rPr>
        <w:t xml:space="preserve">  </w:t>
      </w:r>
      <w:r>
        <w:rPr>
          <w:rFonts w:hint="eastAsia" w:ascii="仿宋_GB2312" w:hAnsi="仿宋_GB2312" w:eastAsia="黑体" w:cs="仿宋_GB2312"/>
          <w:b w:val="0"/>
          <w:bCs/>
          <w:color w:val="auto"/>
          <w:sz w:val="32"/>
          <w:szCs w:val="32"/>
        </w:rPr>
        <w:t>支持对象和方式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微软雅黑" w:hAnsi="微软雅黑" w:eastAsia="微软雅黑" w:cs="微软雅黑"/>
          <w:b w:val="0"/>
          <w:bCs/>
          <w:i w:val="0"/>
          <w:iCs w:val="0"/>
          <w:caps w:val="0"/>
          <w:color w:val="auto"/>
          <w:spacing w:val="0"/>
          <w:sz w:val="27"/>
          <w:szCs w:val="27"/>
          <w:shd w:val="clear" w:fill="FFFFFF"/>
        </w:rPr>
        <w:t>　　</w:t>
      </w:r>
      <w:r>
        <w:rPr>
          <w:rFonts w:hint="eastAsia" w:ascii="楷体" w:hAnsi="楷体" w:eastAsia="楷体" w:cs="仿宋_GB2312"/>
          <w:b w:val="0"/>
          <w:bCs/>
          <w:color w:val="auto"/>
          <w:kern w:val="2"/>
          <w:sz w:val="32"/>
          <w:szCs w:val="32"/>
          <w:lang w:val="en-US" w:eastAsia="zh-CN" w:bidi="ar-SA"/>
        </w:rPr>
        <w:t xml:space="preserve">第八条  </w:t>
      </w:r>
      <w:r>
        <w:rPr>
          <w:rFonts w:hint="eastAsia" w:ascii="仿宋" w:hAnsi="仿宋" w:eastAsia="仿宋" w:cs="仿宋_GB2312"/>
          <w:b w:val="0"/>
          <w:bCs/>
          <w:color w:val="auto"/>
          <w:kern w:val="2"/>
          <w:sz w:val="32"/>
          <w:szCs w:val="32"/>
          <w:lang w:val="en-US" w:eastAsia="zh-CN" w:bidi="ar-SA"/>
        </w:rPr>
        <w:t>科技研发资金主要支持以下对象或者项目是《晋中市科技计划项目管理办法》规定的科技重大专项计划、重点研发计划、科技成果转化与应用计划、晋中市创新生态服务支撑专项（含9个子专项）和</w:t>
      </w:r>
      <w:r>
        <w:rPr>
          <w:rFonts w:hint="eastAsia" w:ascii="仿宋" w:hAnsi="仿宋" w:eastAsia="仿宋"/>
          <w:color w:val="auto"/>
          <w:sz w:val="32"/>
          <w:szCs w:val="32"/>
        </w:rPr>
        <w:t>软科学</w:t>
      </w:r>
      <w:r>
        <w:rPr>
          <w:rFonts w:hint="eastAsia" w:ascii="仿宋" w:hAnsi="仿宋" w:eastAsia="仿宋" w:cs="仿宋_GB2312"/>
          <w:b w:val="0"/>
          <w:bCs/>
          <w:color w:val="auto"/>
          <w:kern w:val="2"/>
          <w:sz w:val="32"/>
          <w:szCs w:val="32"/>
          <w:lang w:val="en-US" w:eastAsia="zh-CN" w:bidi="ar-SA"/>
        </w:rPr>
        <w:t>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w:t>
      </w:r>
      <w:r>
        <w:rPr>
          <w:rFonts w:hint="eastAsia" w:ascii="楷体" w:hAnsi="楷体" w:eastAsia="楷体" w:cs="仿宋_GB2312"/>
          <w:b w:val="0"/>
          <w:bCs/>
          <w:color w:val="auto"/>
          <w:kern w:val="2"/>
          <w:sz w:val="32"/>
          <w:szCs w:val="32"/>
          <w:lang w:val="en-US" w:eastAsia="zh-CN" w:bidi="ar-SA"/>
        </w:rPr>
        <w:t xml:space="preserve">第九条  </w:t>
      </w:r>
      <w:r>
        <w:rPr>
          <w:rFonts w:hint="eastAsia" w:ascii="仿宋" w:hAnsi="仿宋" w:eastAsia="仿宋" w:cs="仿宋_GB2312"/>
          <w:b w:val="0"/>
          <w:bCs/>
          <w:color w:val="auto"/>
          <w:kern w:val="2"/>
          <w:sz w:val="32"/>
          <w:szCs w:val="32"/>
          <w:lang w:val="en-US" w:eastAsia="zh-CN" w:bidi="ar-SA"/>
        </w:rPr>
        <w:t>市科技部门建立稳定支持与竞争择优相结合、事前与事后相结合、政府引导与市场作用相结合，符合科技发展规律的科技研发资金投入机制，推动科技创新资源优化配置和高效利用。对于特别优秀的项目，可给予持续性支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w:t>
      </w:r>
      <w:r>
        <w:rPr>
          <w:rFonts w:hint="eastAsia" w:ascii="楷体" w:hAnsi="楷体" w:eastAsia="楷体" w:cs="仿宋_GB2312"/>
          <w:b w:val="0"/>
          <w:bCs/>
          <w:color w:val="auto"/>
          <w:kern w:val="2"/>
          <w:sz w:val="32"/>
          <w:szCs w:val="32"/>
          <w:lang w:val="en-US" w:eastAsia="zh-CN" w:bidi="ar-SA"/>
        </w:rPr>
        <w:t>第十条</w:t>
      </w:r>
      <w:r>
        <w:rPr>
          <w:rFonts w:hint="eastAsia" w:ascii="仿宋" w:hAnsi="仿宋" w:eastAsia="仿宋" w:cs="仿宋_GB2312"/>
          <w:b w:val="0"/>
          <w:bCs/>
          <w:color w:val="auto"/>
          <w:kern w:val="2"/>
          <w:sz w:val="32"/>
          <w:szCs w:val="32"/>
          <w:lang w:val="en-US" w:eastAsia="zh-CN" w:bidi="ar-SA"/>
        </w:rPr>
        <w:t xml:space="preserve">  科技研发资金资助主要包括以下方式：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（一）事前资助，即项目申报单位在项目立项后完成前，获得科技研发资金资助，按照项目任务书要求使用资金。</w:t>
      </w:r>
      <w:r>
        <w:rPr>
          <w:rFonts w:hint="eastAsia" w:ascii="仿宋" w:hAnsi="仿宋" w:eastAsia="仿宋"/>
          <w:b w:val="0"/>
          <w:bCs/>
          <w:color w:val="auto"/>
          <w:sz w:val="32"/>
          <w:szCs w:val="32"/>
        </w:rPr>
        <w:t>晋中市科技重大专项计划和重点研发计划以事前资助为主</w:t>
      </w:r>
      <w:r>
        <w:rPr>
          <w:rFonts w:hint="eastAsia" w:ascii="仿宋" w:hAnsi="仿宋" w:eastAsia="仿宋"/>
          <w:b w:val="0"/>
          <w:bCs/>
          <w:color w:val="auto"/>
          <w:sz w:val="32"/>
          <w:szCs w:val="32"/>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二）事后补助，即项目申报单位已先行投入资金开展工作，市科技部门对其研发费用、绩效进行审计或评估，给予财政资金相应补助。晋中市科技成果转化应用计划和晋中市创新生态服务支撑专项以事后补助为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（三）购买成果，即围绕全市域产业链、创新链关键核心技术领域，遴选的突破性重大科研成果项目，采取政府购买方式需要的悬赏奖励资金。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（四）市政府批准的其他方式。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市科技部门可以根据科技研发资金使用评估结果，报经市政府批准，对科技研发资金投入方式适时作出调整。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w:t>
      </w:r>
      <w:r>
        <w:rPr>
          <w:rFonts w:hint="eastAsia" w:ascii="楷体" w:hAnsi="楷体" w:eastAsia="楷体" w:cs="仿宋_GB2312"/>
          <w:b w:val="0"/>
          <w:bCs/>
          <w:color w:val="auto"/>
          <w:kern w:val="2"/>
          <w:sz w:val="32"/>
          <w:szCs w:val="32"/>
          <w:lang w:val="en-US" w:eastAsia="zh-CN" w:bidi="ar-SA"/>
        </w:rPr>
        <w:t xml:space="preserve">第十一条  </w:t>
      </w:r>
      <w:r>
        <w:rPr>
          <w:rFonts w:hint="eastAsia" w:ascii="仿宋" w:hAnsi="仿宋" w:eastAsia="仿宋" w:cs="仿宋_GB2312"/>
          <w:b w:val="0"/>
          <w:bCs/>
          <w:color w:val="auto"/>
          <w:kern w:val="2"/>
          <w:sz w:val="32"/>
          <w:szCs w:val="32"/>
          <w:lang w:val="en-US" w:eastAsia="zh-CN" w:bidi="ar-SA"/>
        </w:rPr>
        <w:t>申报科技研发资金应当具备下列基本条件：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（一）项目申报单位应当是在晋中市依法注册，具备法人资格的企业、驻地高等院校、科研机构和社会组织等机构，或者是经市政府批准的其他机构；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（二）项目申报单位具有项目实施的基础条件和保障能力，诚信守法，具有良好的商业信誉、健全的组织机构、完善的财务会计制度；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（三）项目负责人应当具有完成项目所需的专业技术能力和组织管理协调能力；</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（四）项目申报单位和项目负责人在申报项目时未列入晋中市相关部门诚信异常名录；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（五）市科技计划类别规定的具体要求。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center"/>
        <w:textAlignment w:val="auto"/>
        <w:rPr>
          <w:rFonts w:hint="eastAsia" w:ascii="仿宋_GB2312" w:hAnsi="仿宋_GB2312" w:eastAsia="黑体" w:cs="仿宋_GB2312"/>
          <w:b w:val="0"/>
          <w:bCs/>
          <w:color w:val="auto"/>
          <w:kern w:val="2"/>
          <w:sz w:val="32"/>
          <w:szCs w:val="32"/>
          <w:lang w:val="en-US" w:eastAsia="zh-CN" w:bidi="ar-SA"/>
        </w:rPr>
      </w:pPr>
      <w:r>
        <w:rPr>
          <w:rFonts w:hint="eastAsia" w:ascii="仿宋_GB2312" w:hAnsi="仿宋_GB2312" w:eastAsia="黑体" w:cs="仿宋_GB2312"/>
          <w:b w:val="0"/>
          <w:bCs/>
          <w:color w:val="auto"/>
          <w:kern w:val="2"/>
          <w:sz w:val="32"/>
          <w:szCs w:val="32"/>
          <w:lang w:val="en-US" w:eastAsia="zh-CN" w:bidi="ar-SA"/>
        </w:rPr>
        <w:t>第四章  预算编制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第十二条</w:t>
      </w:r>
      <w:r>
        <w:rPr>
          <w:rFonts w:hint="eastAsia" w:ascii="仿宋" w:hAnsi="仿宋" w:eastAsia="仿宋" w:cs="仿宋_GB2312"/>
          <w:b w:val="0"/>
          <w:bCs/>
          <w:color w:val="auto"/>
          <w:kern w:val="2"/>
          <w:sz w:val="32"/>
          <w:szCs w:val="32"/>
          <w:lang w:val="en-US" w:eastAsia="zh-CN" w:bidi="ar-SA"/>
        </w:rPr>
        <w:t xml:space="preserve">  市科技局和市财政局根据《中华人民共和国预算法》的预算编制流程和要求，按照专项管理、专款专用、厉行节约、统筹协调原则，编制年度科技研发资金预算。市科技部门发布目录清单、申报指南应与科技研发资金年度预算编制做好衔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w:t>
      </w:r>
      <w:r>
        <w:rPr>
          <w:rFonts w:hint="eastAsia" w:ascii="楷体" w:hAnsi="楷体" w:eastAsia="楷体" w:cs="仿宋_GB2312"/>
          <w:b w:val="0"/>
          <w:bCs/>
          <w:color w:val="auto"/>
          <w:kern w:val="2"/>
          <w:sz w:val="32"/>
          <w:szCs w:val="32"/>
          <w:lang w:val="en-US" w:eastAsia="zh-CN" w:bidi="ar-SA"/>
        </w:rPr>
        <w:t xml:space="preserve">第十三条  </w:t>
      </w:r>
      <w:r>
        <w:rPr>
          <w:rFonts w:hint="eastAsia" w:ascii="仿宋" w:hAnsi="仿宋" w:eastAsia="仿宋" w:cs="仿宋_GB2312"/>
          <w:b w:val="0"/>
          <w:bCs/>
          <w:color w:val="auto"/>
          <w:kern w:val="2"/>
          <w:sz w:val="32"/>
          <w:szCs w:val="32"/>
          <w:lang w:val="en-US" w:eastAsia="zh-CN" w:bidi="ar-SA"/>
        </w:rPr>
        <w:t>项目资金预算包括资金来源预算与支出预算两部分，事前资助的项目预算按以下要求编制：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（一）来源预算总金额须与支出预算总金额相等；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（二）支出预算科目主要分为直接费用和间接费用两类。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市政府、市科技局、市财政局可根据实际需要，对支出预算科目等进行调整。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w:t>
      </w:r>
      <w:r>
        <w:rPr>
          <w:rFonts w:hint="eastAsia" w:ascii="楷体" w:hAnsi="楷体" w:eastAsia="楷体" w:cs="仿宋_GB2312"/>
          <w:b w:val="0"/>
          <w:bCs/>
          <w:color w:val="auto"/>
          <w:kern w:val="2"/>
          <w:sz w:val="32"/>
          <w:szCs w:val="32"/>
          <w:lang w:val="en-US" w:eastAsia="zh-CN" w:bidi="ar-SA"/>
        </w:rPr>
        <w:t>第十四条</w:t>
      </w:r>
      <w:r>
        <w:rPr>
          <w:rFonts w:hint="eastAsia" w:ascii="仿宋" w:hAnsi="仿宋" w:eastAsia="仿宋" w:cs="仿宋_GB2312"/>
          <w:b w:val="0"/>
          <w:bCs/>
          <w:color w:val="auto"/>
          <w:kern w:val="2"/>
          <w:sz w:val="32"/>
          <w:szCs w:val="32"/>
          <w:lang w:val="en-US" w:eastAsia="zh-CN" w:bidi="ar-SA"/>
        </w:rPr>
        <w:t xml:space="preserve">  项目总经费包括市级财政资金、单位自筹资金以及银行贷款等第三方资金。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对于经费来源主要为财政资金的高校、科研机构以及民间非营利组织，项目经费自筹部分不设强制性要求。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鼓励项目单位先行投入项目研发，可追溯确认前期预研和筹备的经费投入，作为项目单位自筹部分确定项目预算，追溯期从项目申报之日起最长不超过6个月。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5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第十五条</w:t>
      </w:r>
      <w:r>
        <w:rPr>
          <w:rFonts w:hint="eastAsia" w:ascii="仿宋" w:hAnsi="仿宋" w:eastAsia="仿宋" w:cs="仿宋_GB2312"/>
          <w:b w:val="0"/>
          <w:bCs/>
          <w:color w:val="auto"/>
          <w:kern w:val="2"/>
          <w:sz w:val="32"/>
          <w:szCs w:val="32"/>
          <w:lang w:val="en-US" w:eastAsia="zh-CN" w:bidi="ar-SA"/>
        </w:rPr>
        <w:t xml:space="preserve">  项目申报单位应当按照政策相符性、目标相关性和经济合理性原则编制项目预算。直接费用按照设备费、业务费、劳务费三大类科学、合理、真实地编制，不得简单按比例编制。对仪器设备购置、参与单位资质及拟外拨资金进行重点说明，并申明现有实施条件和从单位外部可能获得的共享服务。直接费用中除20万元以上的设备费外，其他费用只提供基本测算说明，不需要提供明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设备费包括科研项目研究过程中购置或试制专用仪器设备，对现有仪器设备进行升级改造，租赁外单位仪器设备发生的费用。计算类仪器设备和软件工具的购置、升级、租赁费用可在设备费科目列支。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54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业务费包括资料费、数据或样本采集费、材料费、测试化验加工费、燃料动力费、印刷出版费、知识产权事务费、办公费、车辆使用费、会议会务费、差旅费、国际合作与交流费、国内协作费等费用。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劳务费包括科研项目组成员的劳务费用或补助，参与项目的研究生、博士后、访问学者和项目聘用的研究人员、科研辅助人员、科研(财务)助理等的劳务性费用，以及支付给临时聘请的咨询专家费用等其他费用。项目聘用人员的劳务费开支，其由单位缴纳的社会保险补助、住房公积金等纳入劳务费科目列支。</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Autospacing="0" w:line="240" w:lineRule="auto"/>
        <w:ind w:right="0" w:rightChars="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 xml:space="preserve">第十六条  </w:t>
      </w:r>
      <w:r>
        <w:rPr>
          <w:rFonts w:hint="eastAsia" w:ascii="仿宋" w:hAnsi="仿宋" w:eastAsia="仿宋" w:cs="仿宋_GB2312"/>
          <w:b w:val="0"/>
          <w:bCs/>
          <w:color w:val="auto"/>
          <w:kern w:val="2"/>
          <w:sz w:val="32"/>
          <w:szCs w:val="32"/>
          <w:lang w:val="en-US" w:eastAsia="zh-CN" w:bidi="ar-SA"/>
        </w:rPr>
        <w:t>严格专家咨询费用标准，两院院士每人每天不高于6000元，通信咨询费每人每个科研项目不高于900元；高级专业技术职称或相当于高级专业技术职称人员每人每天不高于2000元，通信咨询费每人每个科研项目不高于300元；其他人员每人每天不高于1000元，通信咨询费每人每个科研项目不高于200元。</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rightChars="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第十七条</w:t>
      </w:r>
      <w:r>
        <w:rPr>
          <w:rFonts w:hint="eastAsia" w:ascii="仿宋" w:hAnsi="仿宋" w:eastAsia="仿宋" w:cs="仿宋_GB2312"/>
          <w:b w:val="0"/>
          <w:bCs/>
          <w:color w:val="auto"/>
          <w:kern w:val="2"/>
          <w:sz w:val="32"/>
          <w:szCs w:val="32"/>
          <w:lang w:val="en-US" w:eastAsia="zh-CN" w:bidi="ar-SA"/>
        </w:rPr>
        <w:t xml:space="preserve">  间接费用是指科研项目单位在组织实施项目过程中发生的无法在直接费用中列支的相关费用，主要用于补偿科研项目单位为项目研究提供的仪器设备及房屋、水、电、气、暖消耗，有关管理费用，以及绩效支出等。</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rightChars="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间接费用按照直接费用扣除设备购置费后的一定比例核定，由项目单位统筹安排使用，一般不超过科研项目经费资助总额的10%，对生物医药、新材料、电子通讯、高端装备制造、大健康等智力密集型的项目，间接经费比例不超过30%。间接经费的使用应向创新绩效突出的团队和个人倾斜。不得在核定的间接费用以外，以任何名义在项目资金中重复提取、列支相关费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w:t>
      </w:r>
      <w:r>
        <w:rPr>
          <w:rFonts w:hint="eastAsia" w:ascii="楷体" w:hAnsi="楷体" w:eastAsia="楷体" w:cs="仿宋_GB2312"/>
          <w:b w:val="0"/>
          <w:bCs/>
          <w:color w:val="auto"/>
          <w:kern w:val="2"/>
          <w:sz w:val="32"/>
          <w:szCs w:val="32"/>
          <w:lang w:val="en-US" w:eastAsia="zh-CN" w:bidi="ar-SA"/>
        </w:rPr>
        <w:t>第十八条</w:t>
      </w:r>
      <w:r>
        <w:rPr>
          <w:rFonts w:hint="eastAsia" w:ascii="仿宋" w:hAnsi="仿宋" w:eastAsia="仿宋" w:cs="仿宋_GB2312"/>
          <w:b w:val="0"/>
          <w:bCs/>
          <w:color w:val="auto"/>
          <w:kern w:val="2"/>
          <w:sz w:val="32"/>
          <w:szCs w:val="32"/>
          <w:lang w:val="en-US" w:eastAsia="zh-CN" w:bidi="ar-SA"/>
        </w:rPr>
        <w:t xml:space="preserve">  在软科学项目、人才类项目和从事基础性、前沿性、公益性研究的独立法人机构、重点高新技术企业开展经费“包干制”试点，项目单位无需编制项目预算，项目负责人在承诺遵守科研伦理道德和作风学风诚信要求、经费全部用于与本项目研究工作相关支出的基础上，自主决定项目经费使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w:t>
      </w:r>
      <w:r>
        <w:rPr>
          <w:rFonts w:hint="eastAsia" w:ascii="楷体" w:hAnsi="楷体" w:eastAsia="楷体" w:cs="仿宋_GB2312"/>
          <w:b w:val="0"/>
          <w:bCs/>
          <w:color w:val="auto"/>
          <w:kern w:val="2"/>
          <w:sz w:val="32"/>
          <w:szCs w:val="32"/>
          <w:lang w:val="en-US" w:eastAsia="zh-CN" w:bidi="ar-SA"/>
        </w:rPr>
        <w:t>第十九条</w:t>
      </w:r>
      <w:r>
        <w:rPr>
          <w:rFonts w:hint="eastAsia" w:ascii="仿宋" w:hAnsi="仿宋" w:eastAsia="仿宋" w:cs="仿宋_GB2312"/>
          <w:b w:val="0"/>
          <w:bCs/>
          <w:color w:val="auto"/>
          <w:kern w:val="2"/>
          <w:sz w:val="32"/>
          <w:szCs w:val="32"/>
          <w:lang w:val="en-US" w:eastAsia="zh-CN" w:bidi="ar-SA"/>
        </w:rPr>
        <w:t xml:space="preserve">  多个单位共同申报一个项目的，应当明确一个牵头申报单位，并且编列各单位承担的主要任务、经费预算等，并由各单位相关负责人确认。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第二十条</w:t>
      </w:r>
      <w:r>
        <w:rPr>
          <w:rFonts w:hint="eastAsia" w:ascii="仿宋" w:hAnsi="仿宋" w:eastAsia="仿宋" w:cs="仿宋_GB2312"/>
          <w:b w:val="0"/>
          <w:bCs/>
          <w:color w:val="auto"/>
          <w:kern w:val="2"/>
          <w:sz w:val="32"/>
          <w:szCs w:val="32"/>
          <w:lang w:val="en-US" w:eastAsia="zh-CN" w:bidi="ar-SA"/>
        </w:rPr>
        <w:t xml:space="preserve">  在项目总投入不减少的前提下，除设备费外，预算科目调剂权限下放给项目单位，由项目负责人根据科研活动实际需要自主安排，项目单位可根据项目开展实际需求调整并报市科技局备案。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jc w:val="center"/>
        <w:textAlignment w:val="auto"/>
        <w:rPr>
          <w:rFonts w:hint="eastAsia" w:ascii="仿宋_GB2312" w:hAnsi="仿宋_GB2312" w:eastAsia="黑体" w:cs="仿宋_GB2312"/>
          <w:b w:val="0"/>
          <w:bCs/>
          <w:color w:val="auto"/>
          <w:kern w:val="2"/>
          <w:sz w:val="32"/>
          <w:szCs w:val="32"/>
          <w:lang w:val="en-US" w:eastAsia="zh-CN" w:bidi="ar-SA"/>
        </w:rPr>
      </w:pPr>
      <w:r>
        <w:rPr>
          <w:rFonts w:hint="eastAsia" w:ascii="仿宋_GB2312" w:hAnsi="仿宋_GB2312" w:eastAsia="黑体" w:cs="仿宋_GB2312"/>
          <w:b w:val="0"/>
          <w:bCs/>
          <w:color w:val="auto"/>
          <w:kern w:val="2"/>
          <w:sz w:val="32"/>
          <w:szCs w:val="32"/>
          <w:lang w:val="en-US" w:eastAsia="zh-CN" w:bidi="ar-SA"/>
        </w:rPr>
        <w:t>第五章  资金使用管理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第二十一条</w:t>
      </w:r>
      <w:r>
        <w:rPr>
          <w:rFonts w:hint="eastAsia" w:ascii="仿宋" w:hAnsi="仿宋" w:eastAsia="仿宋" w:cs="仿宋_GB2312"/>
          <w:b w:val="0"/>
          <w:bCs/>
          <w:color w:val="auto"/>
          <w:kern w:val="2"/>
          <w:sz w:val="32"/>
          <w:szCs w:val="32"/>
          <w:lang w:val="en-US" w:eastAsia="zh-CN" w:bidi="ar-SA"/>
        </w:rPr>
        <w:t xml:space="preserve">  市财政局应当制定优化科研项目经费拨付的具体细则和流程，根据批准的项目资助计划文件，合理制定项目资金拨付计划并及时将项目资金拨付到项目单位基本户或其自行指定的结算户。对于联合申报的项目，资金拨付至牵头单位。首笔资金拨付比例应充分保障科研活动需要。首笔项目经费原则上应在项目任务书签订后30日内将拨付至项目单位。50万元(含)以下的项目原则上一次性拨付到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项目资金拨付前，如发现项目单位存在影响项目执行、财政资金安全的经营异常或银行账户冻结等情况的，可暂缓拨付资金。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第二十二条</w:t>
      </w:r>
      <w:r>
        <w:rPr>
          <w:rFonts w:hint="eastAsia" w:ascii="仿宋" w:hAnsi="仿宋" w:eastAsia="仿宋" w:cs="仿宋_GB2312"/>
          <w:b w:val="0"/>
          <w:bCs/>
          <w:color w:val="auto"/>
          <w:kern w:val="2"/>
          <w:sz w:val="32"/>
          <w:szCs w:val="32"/>
          <w:lang w:val="en-US" w:eastAsia="zh-CN" w:bidi="ar-SA"/>
        </w:rPr>
        <w:t xml:space="preserve">  项目单位应当将拨入基本户或者其自行指定的结算户的资金纳入单位财务单独建账、统一管理，对财政资金和其他来源资金分别单独核算，确保专款专用。资金使用情况按照市科技部门要求备案。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第二十三条</w:t>
      </w:r>
      <w:r>
        <w:rPr>
          <w:rFonts w:hint="eastAsia" w:ascii="仿宋" w:hAnsi="仿宋" w:eastAsia="仿宋" w:cs="仿宋_GB2312"/>
          <w:b w:val="0"/>
          <w:bCs/>
          <w:color w:val="auto"/>
          <w:kern w:val="2"/>
          <w:sz w:val="32"/>
          <w:szCs w:val="32"/>
          <w:lang w:val="en-US" w:eastAsia="zh-CN" w:bidi="ar-SA"/>
        </w:rPr>
        <w:t xml:space="preserve">  基于市科技研发资金而购置的大型科学仪器设备，形成的科学数据、自然科技资源、科技报告等资源，应当按照有关规定开放共享，提高资源利用效率。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第二十四条</w:t>
      </w:r>
      <w:r>
        <w:rPr>
          <w:rFonts w:hint="eastAsia" w:ascii="仿宋" w:hAnsi="仿宋" w:eastAsia="仿宋" w:cs="仿宋_GB2312"/>
          <w:b w:val="0"/>
          <w:bCs/>
          <w:color w:val="auto"/>
          <w:kern w:val="2"/>
          <w:sz w:val="32"/>
          <w:szCs w:val="32"/>
          <w:lang w:val="en-US" w:eastAsia="zh-CN" w:bidi="ar-SA"/>
        </w:rPr>
        <w:t xml:space="preserve">  对经市科技局立项、公开竞争方式产生并实行合同制管理的市级财政科研项目经费，市财政局将科研经费拨付至项目单位实有资金账户。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第二十五条</w:t>
      </w:r>
      <w:r>
        <w:rPr>
          <w:rFonts w:hint="eastAsia" w:ascii="仿宋" w:hAnsi="仿宋" w:eastAsia="仿宋" w:cs="仿宋_GB2312"/>
          <w:b w:val="0"/>
          <w:bCs/>
          <w:color w:val="auto"/>
          <w:kern w:val="2"/>
          <w:sz w:val="32"/>
          <w:szCs w:val="32"/>
          <w:lang w:val="en-US" w:eastAsia="zh-CN" w:bidi="ar-SA"/>
        </w:rPr>
        <w:t xml:space="preserve">  探索试行项目经费预拨付机制，在项目完成审核立项、签订任务书的基础上，项目单位可根据项目重要程度、资金需求紧迫性等提出申报，市科技局审核同意后，市财政局可在预算确定前预拨部分项目经费，保证科研人员及时使用项目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第二十六条</w:t>
      </w:r>
      <w:r>
        <w:rPr>
          <w:rFonts w:hint="eastAsia" w:ascii="仿宋" w:hAnsi="仿宋" w:eastAsia="仿宋" w:cs="仿宋_GB2312"/>
          <w:b w:val="0"/>
          <w:bCs/>
          <w:color w:val="auto"/>
          <w:kern w:val="2"/>
          <w:sz w:val="32"/>
          <w:szCs w:val="32"/>
          <w:lang w:val="en-US" w:eastAsia="zh-CN" w:bidi="ar-SA"/>
        </w:rPr>
        <w:t xml:space="preserve">  项目单位要建立健全科研财务助理制度，每个项目都要配有相对固定的科研财务助理，为科研人员在项目预算编制和调剂、经费支出、财务决算和验收等方面提供专业化服务。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科研财务助理可由本单位人员担任，也可聘用外部人员，均应支付劳务报酬。对于项目层面聘用的财务助理，所需费用可通过劳务费安排解决；对于单位统一聘用的财务助理，所需费用可通过科研项目经费、单位经营收入等渠道统筹解决。科研财务助理配备情况作为立项评审、结题验收和绩效评价的重要因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第二十七条</w:t>
      </w:r>
      <w:r>
        <w:rPr>
          <w:rFonts w:hint="eastAsia" w:ascii="仿宋" w:hAnsi="仿宋" w:eastAsia="仿宋" w:cs="仿宋_GB2312"/>
          <w:b w:val="0"/>
          <w:bCs/>
          <w:color w:val="auto"/>
          <w:kern w:val="2"/>
          <w:sz w:val="32"/>
          <w:szCs w:val="32"/>
          <w:lang w:val="en-US" w:eastAsia="zh-CN" w:bidi="ar-SA"/>
        </w:rPr>
        <w:t xml:space="preserve">  改进财务报销管理方式。</w:t>
      </w:r>
    </w:p>
    <w:p>
      <w:pPr>
        <w:pStyle w:val="4"/>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rightChars="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（一）项目单位因科研活动实际需要，邀请国内外专家、学者和有关人员参加由其主办的会议等，对确需负担的城市间交通费、国际旅费，可在会议费中报销。</w:t>
      </w:r>
    </w:p>
    <w:p>
      <w:pPr>
        <w:pStyle w:val="4"/>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rightChars="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（二）允许项目单位对国内差旅费中的伙食补助费、市内交通费和难以取得发票的住宿费实行包干制。</w:t>
      </w:r>
    </w:p>
    <w:p>
      <w:pPr>
        <w:pStyle w:val="4"/>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rightChars="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三）对野外考察、心理测试、调查访谈以及面向个人或偏远地区获得样本采集费、从个人手中购买农副产品等特殊材料费、临时雇用人员等科研活动中无法取得发票或财政性票据的，在确保真实的前提下，可按实际发生额予以报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（五）</w:t>
      </w:r>
      <w:r>
        <w:rPr>
          <w:rFonts w:hint="default" w:ascii="仿宋" w:hAnsi="仿宋" w:eastAsia="仿宋" w:cs="仿宋_GB2312"/>
          <w:b w:val="0"/>
          <w:bCs/>
          <w:color w:val="auto"/>
          <w:kern w:val="2"/>
          <w:sz w:val="32"/>
          <w:szCs w:val="32"/>
          <w:lang w:val="en-US" w:eastAsia="zh-CN" w:bidi="ar-SA"/>
        </w:rPr>
        <w:t>使用科研项目经费单次购买１万元以下的计算机、打印机、照相机等设备，打印纸、存储设备、图书、文具等办公用品，硒鼓、粉盒等低值易耗用品，以及５万元以下的专用设备、专用科研试剂、专用科研用原材料等费用可以在科研项目经费中凭发票据实报销。</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rightChars="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（六）对设备、大宗材料、测试化验加工、劳务、专家咨询等费用，原则上应当通过银行转账方式结算。</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rightChars="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 xml:space="preserve">（七）具体经费标准及管理办法由项目单位自行制定，并报市科技局备案。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 xml:space="preserve">第二十八条  </w:t>
      </w:r>
      <w:r>
        <w:rPr>
          <w:rFonts w:hint="eastAsia" w:ascii="仿宋" w:hAnsi="仿宋" w:eastAsia="仿宋" w:cs="仿宋_GB2312"/>
          <w:b w:val="0"/>
          <w:bCs/>
          <w:color w:val="auto"/>
          <w:kern w:val="2"/>
          <w:sz w:val="32"/>
          <w:szCs w:val="32"/>
          <w:lang w:val="en-US" w:eastAsia="zh-CN" w:bidi="ar-SA"/>
        </w:rPr>
        <w:t>项目单位应当建立信息公开制度，在单位内部公开项目立项、主要研究人员、资金使用（重点是间接费用、外拨资金、结余资金使用等）、大型仪器设备购置以及项目研究成果等情况，接受内部监督。</w:t>
      </w:r>
    </w:p>
    <w:p>
      <w:pPr>
        <w:keepNext w:val="0"/>
        <w:keepLines w:val="0"/>
        <w:pageBreakBefore w:val="0"/>
        <w:widowControl w:val="0"/>
        <w:kinsoku/>
        <w:overflowPunct/>
        <w:topLinePunct w:val="0"/>
        <w:autoSpaceDE/>
        <w:autoSpaceDN w:val="0"/>
        <w:bidi w:val="0"/>
        <w:adjustRightInd/>
        <w:snapToGrid/>
        <w:spacing w:line="240" w:lineRule="auto"/>
        <w:ind w:firstLine="640" w:firstLineChars="200"/>
        <w:textAlignment w:val="auto"/>
        <w:rPr>
          <w:rFonts w:hint="default" w:ascii="仿宋" w:hAnsi="仿宋" w:eastAsia="仿宋" w:cs="仿宋_GB2312"/>
          <w:b w:val="0"/>
          <w:bCs/>
          <w:color w:val="FF0000"/>
          <w:kern w:val="2"/>
          <w:sz w:val="32"/>
          <w:szCs w:val="32"/>
          <w:lang w:val="en-US" w:eastAsia="zh-CN" w:bidi="ar-SA"/>
        </w:rPr>
      </w:pPr>
      <w:r>
        <w:rPr>
          <w:rFonts w:hint="default" w:ascii="楷体" w:hAnsi="楷体" w:eastAsia="楷体" w:cs="仿宋_GB2312"/>
          <w:b w:val="0"/>
          <w:bCs/>
          <w:color w:val="auto"/>
          <w:kern w:val="2"/>
          <w:sz w:val="32"/>
          <w:szCs w:val="32"/>
          <w:lang w:val="en-US" w:eastAsia="zh-CN" w:bidi="ar-SA"/>
        </w:rPr>
        <w:t>第</w:t>
      </w:r>
      <w:r>
        <w:rPr>
          <w:rFonts w:hint="eastAsia" w:ascii="楷体" w:hAnsi="楷体" w:eastAsia="楷体" w:cs="仿宋_GB2312"/>
          <w:b w:val="0"/>
          <w:bCs/>
          <w:color w:val="auto"/>
          <w:kern w:val="2"/>
          <w:sz w:val="32"/>
          <w:szCs w:val="32"/>
          <w:lang w:val="en-US" w:eastAsia="zh-CN" w:bidi="ar-SA"/>
        </w:rPr>
        <w:t>二十九</w:t>
      </w:r>
      <w:r>
        <w:rPr>
          <w:rFonts w:hint="default" w:ascii="楷体" w:hAnsi="楷体" w:eastAsia="楷体" w:cs="仿宋_GB2312"/>
          <w:b w:val="0"/>
          <w:bCs/>
          <w:color w:val="auto"/>
          <w:kern w:val="2"/>
          <w:sz w:val="32"/>
          <w:szCs w:val="32"/>
          <w:lang w:val="en-US" w:eastAsia="zh-CN" w:bidi="ar-SA"/>
        </w:rPr>
        <w:t>条</w:t>
      </w:r>
      <w:r>
        <w:rPr>
          <w:rFonts w:hint="eastAsia" w:ascii="仿宋" w:hAnsi="仿宋" w:eastAsia="仿宋" w:cs="仿宋_GB2312"/>
          <w:b w:val="0"/>
          <w:bCs/>
          <w:color w:val="auto"/>
          <w:kern w:val="2"/>
          <w:sz w:val="32"/>
          <w:szCs w:val="32"/>
          <w:lang w:val="en-US" w:eastAsia="zh-CN" w:bidi="ar-SA"/>
        </w:rPr>
        <w:t xml:space="preserve">  </w:t>
      </w:r>
      <w:r>
        <w:rPr>
          <w:rFonts w:hint="eastAsia" w:ascii="仿宋" w:hAnsi="仿宋" w:eastAsia="仿宋" w:cs="仿宋_GB2312"/>
          <w:b w:val="0"/>
          <w:bCs/>
          <w:color w:val="auto"/>
          <w:sz w:val="32"/>
          <w:szCs w:val="32"/>
          <w:lang w:eastAsia="zh-CN"/>
        </w:rPr>
        <w:t>项目单位</w:t>
      </w:r>
      <w:r>
        <w:rPr>
          <w:rFonts w:hint="eastAsia" w:ascii="仿宋" w:hAnsi="仿宋" w:eastAsia="仿宋" w:cs="仿宋_GB2312"/>
          <w:b w:val="0"/>
          <w:bCs/>
          <w:color w:val="auto"/>
          <w:sz w:val="32"/>
          <w:szCs w:val="32"/>
        </w:rPr>
        <w:t>不得有下列行为：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仿宋" w:hAnsi="仿宋" w:eastAsia="仿宋" w:cs="仿宋_GB2312"/>
          <w:b w:val="0"/>
          <w:bCs/>
          <w:color w:val="auto"/>
          <w:kern w:val="2"/>
          <w:sz w:val="32"/>
          <w:szCs w:val="32"/>
          <w:lang w:val="en-US" w:eastAsia="zh-CN" w:bidi="ar-SA"/>
        </w:rPr>
        <w:t>（一）编报虚假预算</w:t>
      </w:r>
      <w:r>
        <w:rPr>
          <w:rFonts w:hint="eastAsia" w:ascii="仿宋" w:hAnsi="仿宋" w:eastAsia="仿宋" w:cs="仿宋_GB2312"/>
          <w:b w:val="0"/>
          <w:bCs/>
          <w:color w:val="auto"/>
          <w:sz w:val="32"/>
          <w:szCs w:val="32"/>
        </w:rPr>
        <w:t>，虚假承诺配套资金</w:t>
      </w:r>
      <w:r>
        <w:rPr>
          <w:rFonts w:hint="default" w:ascii="仿宋" w:hAnsi="仿宋" w:eastAsia="仿宋" w:cs="仿宋_GB2312"/>
          <w:b w:val="0"/>
          <w:bCs/>
          <w:color w:val="auto"/>
          <w:kern w:val="2"/>
          <w:sz w:val="32"/>
          <w:szCs w:val="32"/>
          <w:lang w:val="en-US" w:eastAsia="zh-CN" w:bidi="ar-SA"/>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仿宋" w:hAnsi="仿宋" w:eastAsia="仿宋" w:cs="仿宋_GB2312"/>
          <w:b w:val="0"/>
          <w:bCs/>
          <w:color w:val="auto"/>
          <w:kern w:val="2"/>
          <w:sz w:val="32"/>
          <w:szCs w:val="32"/>
          <w:lang w:val="en-US" w:eastAsia="zh-CN" w:bidi="ar-SA"/>
        </w:rPr>
        <w:t>（二）未对重点研发</w:t>
      </w:r>
      <w:r>
        <w:rPr>
          <w:rFonts w:hint="eastAsia" w:ascii="仿宋" w:hAnsi="仿宋" w:eastAsia="仿宋" w:cs="仿宋_GB2312"/>
          <w:b w:val="0"/>
          <w:bCs/>
          <w:color w:val="auto"/>
          <w:kern w:val="2"/>
          <w:sz w:val="32"/>
          <w:szCs w:val="32"/>
          <w:lang w:val="en-US" w:eastAsia="zh-CN" w:bidi="ar-SA"/>
        </w:rPr>
        <w:t>专项</w:t>
      </w:r>
      <w:r>
        <w:rPr>
          <w:rFonts w:hint="default" w:ascii="仿宋" w:hAnsi="仿宋" w:eastAsia="仿宋" w:cs="仿宋_GB2312"/>
          <w:b w:val="0"/>
          <w:bCs/>
          <w:color w:val="auto"/>
          <w:kern w:val="2"/>
          <w:sz w:val="32"/>
          <w:szCs w:val="32"/>
          <w:lang w:val="en-US" w:eastAsia="zh-CN" w:bidi="ar-SA"/>
        </w:rPr>
        <w:t>资金进行单独核算；</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仿宋" w:hAnsi="仿宋" w:eastAsia="仿宋" w:cs="仿宋_GB2312"/>
          <w:b w:val="0"/>
          <w:bCs/>
          <w:color w:val="auto"/>
          <w:kern w:val="2"/>
          <w:sz w:val="32"/>
          <w:szCs w:val="32"/>
          <w:lang w:val="en-US" w:eastAsia="zh-CN" w:bidi="ar-SA"/>
        </w:rPr>
        <w:t>（三）列支与本项目任务无关的支出</w:t>
      </w:r>
      <w:r>
        <w:rPr>
          <w:rFonts w:hint="eastAsia" w:ascii="仿宋" w:hAnsi="仿宋" w:eastAsia="仿宋" w:cs="仿宋_GB2312"/>
          <w:b w:val="0"/>
          <w:bCs/>
          <w:color w:val="auto"/>
          <w:sz w:val="32"/>
          <w:szCs w:val="32"/>
        </w:rPr>
        <w:t>，如分摊单位日常运行费用、生产性设备、生产用材料等</w:t>
      </w:r>
      <w:r>
        <w:rPr>
          <w:rFonts w:hint="default" w:ascii="仿宋" w:hAnsi="仿宋" w:eastAsia="仿宋" w:cs="仿宋_GB2312"/>
          <w:b w:val="0"/>
          <w:bCs/>
          <w:color w:val="auto"/>
          <w:kern w:val="2"/>
          <w:sz w:val="32"/>
          <w:szCs w:val="32"/>
          <w:lang w:val="en-US" w:eastAsia="zh-CN" w:bidi="ar-SA"/>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仿宋" w:hAnsi="仿宋" w:eastAsia="仿宋" w:cs="仿宋_GB2312"/>
          <w:b w:val="0"/>
          <w:bCs/>
          <w:color w:val="auto"/>
          <w:kern w:val="2"/>
          <w:sz w:val="32"/>
          <w:szCs w:val="32"/>
          <w:lang w:val="en-US" w:eastAsia="zh-CN" w:bidi="ar-SA"/>
        </w:rPr>
        <w:t>（四）未按规定执行和调剂预算、违反规定转拨重点研发计划资金；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仿宋" w:hAnsi="仿宋" w:eastAsia="仿宋" w:cs="仿宋_GB2312"/>
          <w:b w:val="0"/>
          <w:bCs/>
          <w:color w:val="auto"/>
          <w:kern w:val="2"/>
          <w:sz w:val="32"/>
          <w:szCs w:val="32"/>
          <w:lang w:val="en-US" w:eastAsia="zh-CN" w:bidi="ar-SA"/>
        </w:rPr>
        <w:t>（五）虚假承诺其他来源资金；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仿宋" w:hAnsi="仿宋" w:eastAsia="仿宋" w:cs="仿宋_GB2312"/>
          <w:b w:val="0"/>
          <w:bCs/>
          <w:color w:val="auto"/>
          <w:kern w:val="2"/>
          <w:sz w:val="32"/>
          <w:szCs w:val="32"/>
          <w:lang w:val="en-US" w:eastAsia="zh-CN" w:bidi="ar-SA"/>
        </w:rPr>
        <w:t>（六）通过虚假合同、虚假票据、虚构事项、虚报人员等弄虚作假，转移、套取、报销</w:t>
      </w:r>
      <w:r>
        <w:rPr>
          <w:rFonts w:hint="eastAsia" w:ascii="仿宋" w:hAnsi="仿宋" w:eastAsia="仿宋" w:cs="仿宋_GB2312"/>
          <w:b w:val="0"/>
          <w:bCs/>
          <w:color w:val="auto"/>
          <w:kern w:val="2"/>
          <w:sz w:val="32"/>
          <w:szCs w:val="32"/>
          <w:lang w:val="en-US" w:eastAsia="zh-CN" w:bidi="ar-SA"/>
        </w:rPr>
        <w:t>科技研发</w:t>
      </w:r>
      <w:r>
        <w:rPr>
          <w:rFonts w:hint="default" w:ascii="仿宋" w:hAnsi="仿宋" w:eastAsia="仿宋" w:cs="仿宋_GB2312"/>
          <w:b w:val="0"/>
          <w:bCs/>
          <w:color w:val="auto"/>
          <w:kern w:val="2"/>
          <w:sz w:val="32"/>
          <w:szCs w:val="32"/>
          <w:lang w:val="en-US" w:eastAsia="zh-CN" w:bidi="ar-SA"/>
        </w:rPr>
        <w:t>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仿宋" w:hAnsi="仿宋" w:eastAsia="仿宋" w:cs="仿宋_GB2312"/>
          <w:b w:val="0"/>
          <w:bCs/>
          <w:color w:val="auto"/>
          <w:kern w:val="2"/>
          <w:sz w:val="32"/>
          <w:szCs w:val="32"/>
          <w:lang w:val="en-US" w:eastAsia="zh-CN" w:bidi="ar-SA"/>
        </w:rPr>
        <w:t>（七）截留、挤占、挪用重点研发</w:t>
      </w:r>
      <w:r>
        <w:rPr>
          <w:rFonts w:hint="eastAsia" w:ascii="仿宋" w:hAnsi="仿宋" w:eastAsia="仿宋" w:cs="仿宋_GB2312"/>
          <w:b w:val="0"/>
          <w:bCs/>
          <w:color w:val="auto"/>
          <w:kern w:val="2"/>
          <w:sz w:val="32"/>
          <w:szCs w:val="32"/>
          <w:lang w:val="en-US" w:eastAsia="zh-CN" w:bidi="ar-SA"/>
        </w:rPr>
        <w:t>专项</w:t>
      </w:r>
      <w:r>
        <w:rPr>
          <w:rFonts w:hint="default" w:ascii="仿宋" w:hAnsi="仿宋" w:eastAsia="仿宋" w:cs="仿宋_GB2312"/>
          <w:b w:val="0"/>
          <w:bCs/>
          <w:color w:val="auto"/>
          <w:kern w:val="2"/>
          <w:sz w:val="32"/>
          <w:szCs w:val="32"/>
          <w:lang w:val="en-US" w:eastAsia="zh-CN" w:bidi="ar-SA"/>
        </w:rPr>
        <w:t>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仿宋" w:hAnsi="仿宋" w:eastAsia="仿宋" w:cs="仿宋_GB2312"/>
          <w:b w:val="0"/>
          <w:bCs/>
          <w:color w:val="auto"/>
          <w:kern w:val="2"/>
          <w:sz w:val="32"/>
          <w:szCs w:val="32"/>
          <w:lang w:val="en-US" w:eastAsia="zh-CN" w:bidi="ar-SA"/>
        </w:rPr>
        <w:t>（八）设置账外账、随意调账变动支出、随意修改记账凭证、提供虚假财务会计资料等；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仿宋" w:hAnsi="仿宋" w:eastAsia="仿宋" w:cs="仿宋_GB2312"/>
          <w:b w:val="0"/>
          <w:bCs/>
          <w:color w:val="auto"/>
          <w:kern w:val="2"/>
          <w:sz w:val="32"/>
          <w:szCs w:val="32"/>
          <w:lang w:val="en-US" w:eastAsia="zh-CN" w:bidi="ar-SA"/>
        </w:rPr>
        <w:t>（九）使用项目资金列支应当由个人负担的有关费用和支付各种罚款、捐款、赞助、投资，偿还债务等；</w:t>
      </w:r>
    </w:p>
    <w:p>
      <w:pPr>
        <w:keepNext w:val="0"/>
        <w:keepLines w:val="0"/>
        <w:pageBreakBefore w:val="0"/>
        <w:widowControl w:val="0"/>
        <w:kinsoku/>
        <w:overflowPunct/>
        <w:topLinePunct w:val="0"/>
        <w:autoSpaceDE/>
        <w:autoSpaceDN w:val="0"/>
        <w:bidi w:val="0"/>
        <w:adjustRightInd/>
        <w:snapToGrid/>
        <w:spacing w:line="240" w:lineRule="auto"/>
        <w:ind w:firstLine="640" w:firstLineChars="200"/>
        <w:textAlignment w:val="auto"/>
        <w:rPr>
          <w:rFonts w:hint="default" w:ascii="仿宋" w:hAnsi="仿宋" w:eastAsia="仿宋" w:cs="仿宋_GB2312"/>
          <w:b w:val="0"/>
          <w:bCs/>
          <w:color w:val="auto"/>
          <w:kern w:val="2"/>
          <w:sz w:val="32"/>
          <w:szCs w:val="32"/>
          <w:lang w:val="en-US" w:eastAsia="zh-CN" w:bidi="ar-SA"/>
        </w:rPr>
      </w:pPr>
      <w:r>
        <w:rPr>
          <w:rFonts w:hint="default" w:ascii="仿宋" w:hAnsi="仿宋" w:eastAsia="仿宋" w:cs="仿宋_GB2312"/>
          <w:b w:val="0"/>
          <w:bCs/>
          <w:color w:val="auto"/>
          <w:kern w:val="2"/>
          <w:sz w:val="32"/>
          <w:szCs w:val="32"/>
          <w:lang w:val="en-US" w:eastAsia="zh-CN" w:bidi="ar-SA"/>
        </w:rPr>
        <w:t>（十）</w:t>
      </w:r>
      <w:r>
        <w:rPr>
          <w:rFonts w:hint="eastAsia" w:ascii="仿宋" w:hAnsi="仿宋" w:eastAsia="仿宋" w:cs="仿宋_GB2312"/>
          <w:b w:val="0"/>
          <w:bCs/>
          <w:color w:val="auto"/>
          <w:sz w:val="32"/>
          <w:szCs w:val="32"/>
        </w:rPr>
        <w:t>将专家咨询费发放给项目组成员、参与项目管理的工作人员等；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（十一）将项目资金用于基本建设投资；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（十二）</w:t>
      </w:r>
      <w:r>
        <w:rPr>
          <w:rFonts w:hint="default" w:ascii="仿宋" w:hAnsi="仿宋" w:eastAsia="仿宋" w:cs="仿宋_GB2312"/>
          <w:b w:val="0"/>
          <w:bCs/>
          <w:color w:val="auto"/>
          <w:kern w:val="2"/>
          <w:sz w:val="32"/>
          <w:szCs w:val="32"/>
          <w:lang w:val="en-US" w:eastAsia="zh-CN" w:bidi="ar-SA"/>
        </w:rPr>
        <w:t>其他违反国家财经纪律的行为。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楷体" w:hAnsi="楷体" w:eastAsia="楷体" w:cs="仿宋_GB2312"/>
          <w:b w:val="0"/>
          <w:bCs/>
          <w:color w:val="auto"/>
          <w:kern w:val="2"/>
          <w:sz w:val="32"/>
          <w:szCs w:val="32"/>
          <w:lang w:val="en-US" w:eastAsia="zh-CN" w:bidi="ar-SA"/>
        </w:rPr>
        <w:t>第三十条</w:t>
      </w:r>
      <w:r>
        <w:rPr>
          <w:rFonts w:hint="eastAsia" w:ascii="仿宋" w:hAnsi="仿宋" w:eastAsia="仿宋" w:cs="仿宋_GB2312"/>
          <w:b w:val="0"/>
          <w:bCs/>
          <w:color w:val="auto"/>
          <w:kern w:val="2"/>
          <w:sz w:val="32"/>
          <w:szCs w:val="32"/>
          <w:lang w:val="en-US" w:eastAsia="zh-CN" w:bidi="ar-SA"/>
        </w:rPr>
        <w:t xml:space="preserve">  项目单位</w:t>
      </w:r>
      <w:r>
        <w:rPr>
          <w:rFonts w:hint="default" w:ascii="仿宋" w:hAnsi="仿宋" w:eastAsia="仿宋" w:cs="仿宋_GB2312"/>
          <w:b w:val="0"/>
          <w:bCs/>
          <w:color w:val="auto"/>
          <w:kern w:val="2"/>
          <w:sz w:val="32"/>
          <w:szCs w:val="32"/>
          <w:lang w:val="en-US" w:eastAsia="zh-CN" w:bidi="ar-SA"/>
        </w:rPr>
        <w:t>应当按照下达的预算执行。项目在研期间，年度剩余资金结转下一年度继续使用。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default" w:ascii="楷体" w:hAnsi="楷体" w:eastAsia="楷体" w:cs="仿宋_GB2312"/>
          <w:b w:val="0"/>
          <w:bCs/>
          <w:color w:val="auto"/>
          <w:kern w:val="2"/>
          <w:sz w:val="32"/>
          <w:szCs w:val="32"/>
          <w:lang w:val="en-US" w:eastAsia="zh-CN" w:bidi="ar-SA"/>
        </w:rPr>
        <w:t>第三十</w:t>
      </w:r>
      <w:r>
        <w:rPr>
          <w:rFonts w:hint="eastAsia" w:ascii="楷体" w:hAnsi="楷体" w:eastAsia="楷体" w:cs="仿宋_GB2312"/>
          <w:b w:val="0"/>
          <w:bCs/>
          <w:color w:val="auto"/>
          <w:kern w:val="2"/>
          <w:sz w:val="32"/>
          <w:szCs w:val="32"/>
          <w:lang w:val="en-US" w:eastAsia="zh-CN" w:bidi="ar-SA"/>
        </w:rPr>
        <w:t>一</w:t>
      </w:r>
      <w:r>
        <w:rPr>
          <w:rFonts w:hint="default" w:ascii="楷体" w:hAnsi="楷体" w:eastAsia="楷体" w:cs="仿宋_GB2312"/>
          <w:b w:val="0"/>
          <w:bCs/>
          <w:color w:val="auto"/>
          <w:kern w:val="2"/>
          <w:sz w:val="32"/>
          <w:szCs w:val="32"/>
          <w:lang w:val="en-US" w:eastAsia="zh-CN" w:bidi="ar-SA"/>
        </w:rPr>
        <w:t>条</w:t>
      </w:r>
      <w:r>
        <w:rPr>
          <w:rFonts w:hint="eastAsia" w:ascii="仿宋" w:hAnsi="仿宋" w:eastAsia="仿宋" w:cs="仿宋_GB2312"/>
          <w:b w:val="0"/>
          <w:bCs/>
          <w:color w:val="auto"/>
          <w:kern w:val="2"/>
          <w:sz w:val="32"/>
          <w:szCs w:val="32"/>
          <w:lang w:val="en-US" w:eastAsia="zh-CN" w:bidi="ar-SA"/>
        </w:rPr>
        <w:t xml:space="preserve">  </w:t>
      </w:r>
      <w:r>
        <w:rPr>
          <w:rFonts w:hint="default" w:ascii="仿宋" w:hAnsi="仿宋" w:eastAsia="仿宋" w:cs="仿宋_GB2312"/>
          <w:b w:val="0"/>
          <w:bCs/>
          <w:color w:val="auto"/>
          <w:kern w:val="2"/>
          <w:sz w:val="32"/>
          <w:szCs w:val="32"/>
          <w:lang w:val="en-US" w:eastAsia="zh-CN" w:bidi="ar-SA"/>
        </w:rPr>
        <w:t>项目单位应当按规定于每年11月底前将汇总审核后的项目年度执行情况报告（含财务执行情况）报送</w:t>
      </w:r>
      <w:r>
        <w:rPr>
          <w:rFonts w:hint="eastAsia" w:ascii="仿宋" w:hAnsi="仿宋" w:eastAsia="仿宋" w:cs="仿宋_GB2312"/>
          <w:b w:val="0"/>
          <w:bCs/>
          <w:color w:val="auto"/>
          <w:kern w:val="2"/>
          <w:sz w:val="32"/>
          <w:szCs w:val="32"/>
          <w:lang w:val="en-US" w:eastAsia="zh-CN" w:bidi="ar-SA"/>
        </w:rPr>
        <w:t>市县两级科技部门</w:t>
      </w:r>
      <w:r>
        <w:rPr>
          <w:rFonts w:hint="default" w:ascii="仿宋" w:hAnsi="仿宋" w:eastAsia="仿宋" w:cs="仿宋_GB2312"/>
          <w:b w:val="0"/>
          <w:bCs/>
          <w:color w:val="auto"/>
          <w:kern w:val="2"/>
          <w:sz w:val="32"/>
          <w:szCs w:val="32"/>
          <w:lang w:val="en-US" w:eastAsia="zh-CN" w:bidi="ar-SA"/>
        </w:rPr>
        <w:t>。报告内容应当真实、完整，账表一致。项目执行不足3个月的，可在下年度一并上报。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第三十二条</w:t>
      </w:r>
      <w:r>
        <w:rPr>
          <w:rFonts w:hint="eastAsia" w:ascii="仿宋" w:hAnsi="仿宋" w:eastAsia="仿宋" w:cs="仿宋_GB2312"/>
          <w:b w:val="0"/>
          <w:bCs/>
          <w:color w:val="auto"/>
          <w:kern w:val="2"/>
          <w:sz w:val="32"/>
          <w:szCs w:val="32"/>
          <w:lang w:val="en-US" w:eastAsia="zh-CN" w:bidi="ar-SA"/>
        </w:rPr>
        <w:t xml:space="preserve">  结余资金按照下列方式处理：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（一）一次性通过验收的项目，结余资金和孳生利息留归项目单位使用，统筹安排用于科研活动的直接支出；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（二）验收结论为结题的项目，项目单位退回结余资金和孳生利息，提交退款凭证，未按要求退回的，由市科技部门负责追回；市科技部门继续受理该单位资助申报；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right="0" w:firstLine="640" w:firstLineChars="20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（三）验收结论为不通过的项目，除项目单位退回结余资金和孳生利息、提交退款凭证外，市科技部门视情况追缴前期已使用资金；具体追缴方式由市科技部门另行制定；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（四）项目单位申报撤销项目的，退回全部资助资金和孳生利息，提交退款凭证，市科技部门下年度继续受理该单位资助申报；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仿宋" w:hAnsi="仿宋" w:eastAsia="仿宋" w:cs="仿宋_GB2312"/>
          <w:b w:val="0"/>
          <w:bCs/>
          <w:color w:val="auto"/>
          <w:kern w:val="2"/>
          <w:sz w:val="32"/>
          <w:szCs w:val="32"/>
          <w:lang w:val="en-US" w:eastAsia="zh-CN" w:bidi="ar-SA"/>
        </w:rPr>
        <w:t>（五）市科技部门终止的项目视作该项目验收不通过，应根据财务审计结果，按程序停止后续拨款，除追缴未使用的项目资金及孳生利息外，视情况追缴前期用于项目科研活动之外的财政资金。</w:t>
      </w:r>
    </w:p>
    <w:p>
      <w:pPr>
        <w:keepNext w:val="0"/>
        <w:keepLines w:val="0"/>
        <w:pageBreakBefore w:val="0"/>
        <w:widowControl w:val="0"/>
        <w:shd w:val="clear" w:color="auto" w:fill="FFFFFF"/>
        <w:kinsoku/>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第三十三条</w:t>
      </w:r>
      <w:r>
        <w:rPr>
          <w:rFonts w:hint="eastAsia" w:ascii="仿宋" w:hAnsi="仿宋" w:eastAsia="仿宋" w:cs="仿宋_GB2312"/>
          <w:b w:val="0"/>
          <w:bCs/>
          <w:color w:val="auto"/>
          <w:kern w:val="2"/>
          <w:sz w:val="32"/>
          <w:szCs w:val="32"/>
          <w:lang w:val="en-US" w:eastAsia="zh-CN" w:bidi="ar-SA"/>
        </w:rPr>
        <w:t xml:space="preserve">  实施“业主制+项目经理人制+技术总师负责制”改革的项目，项目经费使用具体由项目经理人或技术总师负责，扩大其自主权。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第三十四条</w:t>
      </w:r>
      <w:r>
        <w:rPr>
          <w:rFonts w:hint="eastAsia" w:ascii="仿宋" w:hAnsi="仿宋" w:eastAsia="仿宋" w:cs="仿宋_GB2312"/>
          <w:b w:val="0"/>
          <w:bCs/>
          <w:color w:val="auto"/>
          <w:kern w:val="2"/>
          <w:sz w:val="32"/>
          <w:szCs w:val="32"/>
          <w:lang w:val="en-US" w:eastAsia="zh-CN" w:bidi="ar-SA"/>
        </w:rPr>
        <w:t xml:space="preserve">  悬赏奖励资金用于政府面向全国乃至国外征集攻关团队，购买符合条件的创新成果和解决方案，待成果达到需求之后，根据悬赏奖励合同，予以付费。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default"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第三十五条</w:t>
      </w:r>
      <w:r>
        <w:rPr>
          <w:rFonts w:hint="eastAsia" w:ascii="仿宋" w:hAnsi="仿宋" w:eastAsia="仿宋" w:cs="仿宋_GB2312"/>
          <w:b w:val="0"/>
          <w:bCs/>
          <w:color w:val="auto"/>
          <w:kern w:val="2"/>
          <w:sz w:val="32"/>
          <w:szCs w:val="32"/>
          <w:lang w:val="en-US" w:eastAsia="zh-CN" w:bidi="ar-SA"/>
        </w:rPr>
        <w:t xml:space="preserve">  发挥财政经费的杠杆效应和导向作用，引导企业参与，发挥金融资金作用，吸引民间资本支持科技创新创业推动科技与金融深度融合。探索建立投贷联动机制、知识产权质押融资风险分担和损失补偿机制，引导金融机构加大金融产品和服务创新力度。</w:t>
      </w:r>
      <w:r>
        <w:rPr>
          <w:rFonts w:hint="eastAsia" w:ascii="仿宋" w:hAnsi="仿宋" w:eastAsia="仿宋" w:cs="仿宋_GB2312"/>
          <w:b w:val="0"/>
          <w:bCs/>
          <w:color w:val="auto"/>
          <w:kern w:val="2"/>
          <w:sz w:val="32"/>
          <w:szCs w:val="32"/>
          <w:u w:val="none"/>
          <w:lang w:val="en-US" w:eastAsia="zh-CN" w:bidi="ar-SA"/>
        </w:rPr>
        <w:t>探索建立科技创新类引导基金，推动更多具有重大价值的科技成果转化应用。</w:t>
      </w:r>
    </w:p>
    <w:p>
      <w:pPr>
        <w:keepNext w:val="0"/>
        <w:keepLines w:val="0"/>
        <w:pageBreakBefore w:val="0"/>
        <w:widowControl w:val="0"/>
        <w:numPr>
          <w:ilvl w:val="0"/>
          <w:numId w:val="0"/>
        </w:numPr>
        <w:kinsoku/>
        <w:overflowPunct/>
        <w:topLinePunct w:val="0"/>
        <w:autoSpaceDE/>
        <w:autoSpaceDN w:val="0"/>
        <w:bidi w:val="0"/>
        <w:adjustRightInd/>
        <w:snapToGrid/>
        <w:spacing w:line="240" w:lineRule="auto"/>
        <w:jc w:val="center"/>
        <w:textAlignment w:val="auto"/>
        <w:rPr>
          <w:rFonts w:hint="eastAsia" w:ascii="仿宋_GB2312" w:hAnsi="仿宋_GB2312" w:eastAsia="黑体" w:cs="仿宋_GB2312"/>
          <w:b w:val="0"/>
          <w:bCs/>
          <w:color w:val="auto"/>
          <w:sz w:val="32"/>
          <w:szCs w:val="32"/>
          <w:lang w:val="en-US" w:eastAsia="zh-CN"/>
        </w:rPr>
      </w:pPr>
      <w:r>
        <w:rPr>
          <w:rFonts w:hint="eastAsia" w:ascii="仿宋_GB2312" w:hAnsi="仿宋_GB2312" w:eastAsia="黑体" w:cs="仿宋_GB2312"/>
          <w:b w:val="0"/>
          <w:bCs/>
          <w:color w:val="auto"/>
          <w:kern w:val="2"/>
          <w:sz w:val="32"/>
          <w:szCs w:val="32"/>
          <w:lang w:val="en-US" w:eastAsia="zh-CN" w:bidi="ar-SA"/>
        </w:rPr>
        <w:t>第六章  综合绩效评价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第三十六条</w:t>
      </w:r>
      <w:r>
        <w:rPr>
          <w:rFonts w:hint="eastAsia" w:ascii="仿宋" w:hAnsi="仿宋" w:eastAsia="仿宋" w:cs="仿宋_GB2312"/>
          <w:b w:val="0"/>
          <w:bCs/>
          <w:color w:val="auto"/>
          <w:kern w:val="2"/>
          <w:sz w:val="32"/>
          <w:szCs w:val="32"/>
          <w:lang w:val="en-US" w:eastAsia="zh-CN" w:bidi="ar-SA"/>
        </w:rPr>
        <w:t xml:space="preserve">  项目执行期满后，项目单位应当在1个月内组织清理账目与资产，聘请第三方机构开展财务审计，如实编制项目资金决算，项目单位对决算报表内容的真实性、完整性、准确性负责。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第三十七条</w:t>
      </w:r>
      <w:r>
        <w:rPr>
          <w:rFonts w:hint="eastAsia" w:ascii="仿宋" w:hAnsi="仿宋" w:eastAsia="仿宋" w:cs="仿宋_GB2312"/>
          <w:b w:val="0"/>
          <w:bCs/>
          <w:color w:val="auto"/>
          <w:kern w:val="2"/>
          <w:sz w:val="32"/>
          <w:szCs w:val="32"/>
          <w:lang w:val="en-US" w:eastAsia="zh-CN" w:bidi="ar-SA"/>
        </w:rPr>
        <w:t xml:space="preserve">  创新能力和潜力突出、创新绩效显著、科研诚信状况良好的项目单位按程序认定后，可不再开展财务审计，其出具的项目资金决算报表，作为项目综合绩效评价的依据。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val="0"/>
        <w:bidi w:val="0"/>
        <w:adjustRightInd/>
        <w:snapToGrid/>
        <w:spacing w:before="0" w:beforeAutospacing="0" w:afterAutospacing="0" w:line="240" w:lineRule="auto"/>
        <w:ind w:left="0" w:right="0" w:firstLine="640"/>
        <w:jc w:val="both"/>
        <w:textAlignment w:val="auto"/>
        <w:rPr>
          <w:rFonts w:hint="eastAsia" w:ascii="仿宋" w:hAnsi="仿宋" w:eastAsia="仿宋" w:cs="仿宋_GB2312"/>
          <w:b w:val="0"/>
          <w:bCs/>
          <w:color w:val="auto"/>
          <w:kern w:val="2"/>
          <w:sz w:val="32"/>
          <w:szCs w:val="32"/>
          <w:lang w:val="en-US" w:eastAsia="zh-CN" w:bidi="ar-SA"/>
        </w:rPr>
      </w:pPr>
      <w:r>
        <w:rPr>
          <w:rFonts w:hint="eastAsia" w:ascii="楷体" w:hAnsi="楷体" w:eastAsia="楷体" w:cs="仿宋_GB2312"/>
          <w:b w:val="0"/>
          <w:bCs/>
          <w:color w:val="auto"/>
          <w:kern w:val="2"/>
          <w:sz w:val="32"/>
          <w:szCs w:val="32"/>
          <w:lang w:val="en-US" w:eastAsia="zh-CN" w:bidi="ar-SA"/>
        </w:rPr>
        <w:t>第三十八条</w:t>
      </w:r>
      <w:r>
        <w:rPr>
          <w:rFonts w:hint="eastAsia" w:ascii="仿宋" w:hAnsi="仿宋" w:eastAsia="仿宋" w:cs="仿宋_GB2312"/>
          <w:b w:val="0"/>
          <w:bCs/>
          <w:color w:val="auto"/>
          <w:kern w:val="2"/>
          <w:sz w:val="32"/>
          <w:szCs w:val="32"/>
          <w:lang w:val="en-US" w:eastAsia="zh-CN" w:bidi="ar-SA"/>
        </w:rPr>
        <w:t xml:space="preserve">  市科技局应当在项目实施期末项目评审时同步开展预算评审，进行一次性综合绩效评价，预算评审重点是项目预算的目标相关性、政策相符性和经济合理性，不得将预算编制细致程度作为评审预算的因素。</w:t>
      </w:r>
    </w:p>
    <w:p>
      <w:pPr>
        <w:keepNext w:val="0"/>
        <w:keepLines w:val="0"/>
        <w:pageBreakBefore w:val="0"/>
        <w:widowControl w:val="0"/>
        <w:numPr>
          <w:ilvl w:val="0"/>
          <w:numId w:val="0"/>
        </w:numPr>
        <w:kinsoku/>
        <w:overflowPunct/>
        <w:topLinePunct w:val="0"/>
        <w:autoSpaceDE/>
        <w:autoSpaceDN w:val="0"/>
        <w:bidi w:val="0"/>
        <w:adjustRightInd/>
        <w:snapToGrid/>
        <w:spacing w:line="240" w:lineRule="auto"/>
        <w:jc w:val="center"/>
        <w:textAlignment w:val="auto"/>
        <w:rPr>
          <w:rFonts w:ascii="仿宋_GB2312" w:hAnsi="仿宋_GB2312" w:eastAsia="黑体" w:cs="仿宋_GB2312"/>
          <w:b w:val="0"/>
          <w:bCs/>
          <w:color w:val="auto"/>
          <w:sz w:val="32"/>
          <w:szCs w:val="32"/>
        </w:rPr>
      </w:pPr>
      <w:r>
        <w:rPr>
          <w:rFonts w:hint="eastAsia" w:ascii="仿宋_GB2312" w:hAnsi="仿宋_GB2312" w:eastAsia="黑体" w:cs="仿宋_GB2312"/>
          <w:b w:val="0"/>
          <w:bCs/>
          <w:color w:val="auto"/>
          <w:sz w:val="32"/>
          <w:szCs w:val="32"/>
          <w:lang w:val="en-US" w:eastAsia="zh-CN"/>
        </w:rPr>
        <w:t xml:space="preserve">第七章  </w:t>
      </w:r>
      <w:r>
        <w:rPr>
          <w:rFonts w:hint="eastAsia" w:ascii="仿宋_GB2312" w:hAnsi="仿宋_GB2312" w:eastAsia="黑体" w:cs="仿宋_GB2312"/>
          <w:b w:val="0"/>
          <w:bCs/>
          <w:color w:val="auto"/>
          <w:sz w:val="32"/>
          <w:szCs w:val="32"/>
        </w:rPr>
        <w:t>监督检查</w:t>
      </w:r>
    </w:p>
    <w:p>
      <w:pPr>
        <w:keepNext w:val="0"/>
        <w:keepLines w:val="0"/>
        <w:pageBreakBefore w:val="0"/>
        <w:widowControl w:val="0"/>
        <w:kinsoku/>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z w:val="32"/>
          <w:szCs w:val="32"/>
        </w:rPr>
      </w:pPr>
      <w:r>
        <w:rPr>
          <w:rFonts w:hint="eastAsia" w:ascii="楷体" w:hAnsi="楷体" w:eastAsia="楷体" w:cs="仿宋_GB2312"/>
          <w:b w:val="0"/>
          <w:bCs/>
          <w:color w:val="auto"/>
          <w:sz w:val="32"/>
          <w:szCs w:val="32"/>
        </w:rPr>
        <w:t>第</w:t>
      </w:r>
      <w:r>
        <w:rPr>
          <w:rFonts w:hint="eastAsia" w:ascii="楷体" w:hAnsi="楷体" w:eastAsia="楷体" w:cs="仿宋_GB2312"/>
          <w:b w:val="0"/>
          <w:bCs/>
          <w:color w:val="auto"/>
          <w:sz w:val="32"/>
          <w:szCs w:val="32"/>
          <w:lang w:eastAsia="zh-CN"/>
        </w:rPr>
        <w:t>三十九</w:t>
      </w:r>
      <w:r>
        <w:rPr>
          <w:rFonts w:hint="eastAsia" w:ascii="楷体" w:hAnsi="楷体" w:eastAsia="楷体" w:cs="仿宋_GB2312"/>
          <w:b w:val="0"/>
          <w:bCs/>
          <w:color w:val="auto"/>
          <w:sz w:val="32"/>
          <w:szCs w:val="32"/>
        </w:rPr>
        <w:t>条</w:t>
      </w:r>
      <w:r>
        <w:rPr>
          <w:rFonts w:hint="eastAsia" w:ascii="仿宋_GB2312" w:hAnsi="仿宋_GB2312" w:eastAsia="仿宋_GB2312" w:cs="仿宋_GB2312"/>
          <w:b w:val="0"/>
          <w:bCs/>
          <w:color w:val="auto"/>
          <w:sz w:val="32"/>
          <w:szCs w:val="32"/>
        </w:rPr>
        <w:t xml:space="preserve">  </w:t>
      </w:r>
      <w:r>
        <w:rPr>
          <w:rFonts w:hint="eastAsia" w:ascii="仿宋" w:hAnsi="仿宋" w:eastAsia="仿宋" w:cs="仿宋_GB2312"/>
          <w:b w:val="0"/>
          <w:bCs/>
          <w:color w:val="auto"/>
          <w:sz w:val="32"/>
          <w:szCs w:val="32"/>
        </w:rPr>
        <w:t>各级</w:t>
      </w:r>
      <w:r>
        <w:rPr>
          <w:rFonts w:hint="eastAsia" w:ascii="仿宋" w:hAnsi="仿宋" w:eastAsia="仿宋" w:cs="仿宋_GB2312"/>
          <w:b w:val="0"/>
          <w:bCs/>
          <w:color w:val="auto"/>
          <w:sz w:val="32"/>
          <w:szCs w:val="32"/>
          <w:lang w:eastAsia="zh-CN"/>
        </w:rPr>
        <w:t>科技部门</w:t>
      </w:r>
      <w:r>
        <w:rPr>
          <w:rFonts w:hint="eastAsia" w:ascii="仿宋" w:hAnsi="仿宋" w:eastAsia="仿宋" w:cs="仿宋_GB2312"/>
          <w:b w:val="0"/>
          <w:bCs/>
          <w:color w:val="auto"/>
          <w:sz w:val="32"/>
          <w:szCs w:val="32"/>
        </w:rPr>
        <w:t>、财政部门、审计部门，应当按照各自职责，根据</w:t>
      </w:r>
      <w:r>
        <w:rPr>
          <w:rFonts w:hint="eastAsia" w:ascii="仿宋" w:hAnsi="仿宋" w:eastAsia="仿宋" w:cs="仿宋_GB2312"/>
          <w:b w:val="0"/>
          <w:bCs/>
          <w:color w:val="auto"/>
          <w:sz w:val="32"/>
          <w:szCs w:val="32"/>
          <w:lang w:eastAsia="zh-CN"/>
        </w:rPr>
        <w:t>项目</w:t>
      </w:r>
      <w:r>
        <w:rPr>
          <w:rFonts w:hint="eastAsia" w:ascii="仿宋" w:hAnsi="仿宋" w:eastAsia="仿宋" w:cs="仿宋_GB2312"/>
          <w:b w:val="0"/>
          <w:bCs/>
          <w:color w:val="auto"/>
          <w:sz w:val="32"/>
          <w:szCs w:val="32"/>
        </w:rPr>
        <w:t>资金监督年度计划和实施方案，通过随机抽查、举报核查</w:t>
      </w:r>
      <w:r>
        <w:rPr>
          <w:rFonts w:hint="eastAsia" w:ascii="仿宋" w:hAnsi="仿宋" w:eastAsia="仿宋" w:cs="仿宋_GB2312"/>
          <w:b w:val="0"/>
          <w:bCs/>
          <w:color w:val="auto"/>
          <w:sz w:val="32"/>
          <w:szCs w:val="32"/>
          <w:lang w:eastAsia="zh-CN"/>
        </w:rPr>
        <w:t>、“飞行检查”</w:t>
      </w:r>
      <w:r>
        <w:rPr>
          <w:rFonts w:hint="eastAsia" w:ascii="仿宋" w:hAnsi="仿宋" w:eastAsia="仿宋" w:cs="仿宋_GB2312"/>
          <w:b w:val="0"/>
          <w:bCs/>
          <w:color w:val="auto"/>
          <w:sz w:val="32"/>
          <w:szCs w:val="32"/>
        </w:rPr>
        <w:t>等方式，充分利用大数据等信息技术手段</w:t>
      </w:r>
      <w:r>
        <w:rPr>
          <w:rFonts w:hint="eastAsia" w:ascii="仿宋" w:hAnsi="仿宋" w:eastAsia="仿宋" w:cs="仿宋_GB2312"/>
          <w:b w:val="0"/>
          <w:bCs/>
          <w:color w:val="auto"/>
          <w:sz w:val="32"/>
          <w:szCs w:val="32"/>
          <w:lang w:eastAsia="zh-CN"/>
        </w:rPr>
        <w:t>，</w:t>
      </w:r>
      <w:r>
        <w:rPr>
          <w:rFonts w:hint="eastAsia" w:ascii="仿宋" w:hAnsi="仿宋" w:eastAsia="仿宋" w:cs="仿宋_GB2312"/>
          <w:b w:val="0"/>
          <w:bCs/>
          <w:color w:val="auto"/>
          <w:sz w:val="32"/>
          <w:szCs w:val="32"/>
        </w:rPr>
        <w:t>对</w:t>
      </w:r>
      <w:r>
        <w:rPr>
          <w:rFonts w:hint="eastAsia" w:ascii="仿宋" w:hAnsi="仿宋" w:eastAsia="仿宋" w:cs="仿宋_GB2312"/>
          <w:b w:val="0"/>
          <w:bCs/>
          <w:color w:val="auto"/>
          <w:sz w:val="32"/>
          <w:szCs w:val="32"/>
          <w:lang w:eastAsia="zh-CN"/>
        </w:rPr>
        <w:t>项目</w:t>
      </w:r>
      <w:r>
        <w:rPr>
          <w:rFonts w:hint="eastAsia" w:ascii="仿宋" w:hAnsi="仿宋" w:eastAsia="仿宋" w:cs="仿宋_GB2312"/>
          <w:b w:val="0"/>
          <w:bCs/>
          <w:color w:val="auto"/>
          <w:sz w:val="32"/>
          <w:szCs w:val="32"/>
        </w:rPr>
        <w:t>资金情况开展监督</w:t>
      </w:r>
      <w:r>
        <w:rPr>
          <w:rFonts w:hint="eastAsia" w:ascii="仿宋" w:hAnsi="仿宋" w:eastAsia="仿宋" w:cs="仿宋_GB2312"/>
          <w:b w:val="0"/>
          <w:bCs/>
          <w:color w:val="auto"/>
          <w:sz w:val="32"/>
          <w:szCs w:val="32"/>
          <w:lang w:eastAsia="zh-CN"/>
        </w:rPr>
        <w:t>检查</w:t>
      </w:r>
      <w:r>
        <w:rPr>
          <w:rFonts w:hint="eastAsia" w:ascii="仿宋" w:hAnsi="仿宋" w:eastAsia="仿宋" w:cs="仿宋_GB2312"/>
          <w:b w:val="0"/>
          <w:bCs/>
          <w:color w:val="auto"/>
          <w:sz w:val="32"/>
          <w:szCs w:val="32"/>
        </w:rPr>
        <w:t>，发现与原定绩效目标发生偏离，应当及时提出针对性的整改意见或采取处理措施。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val="0"/>
        <w:bidi w:val="0"/>
        <w:adjustRightInd/>
        <w:snapToGrid/>
        <w:spacing w:before="0" w:beforeAutospacing="0" w:afterAutospacing="0" w:line="240" w:lineRule="auto"/>
        <w:ind w:right="0" w:firstLine="640" w:firstLineChars="200"/>
        <w:jc w:val="both"/>
        <w:textAlignment w:val="auto"/>
        <w:rPr>
          <w:rFonts w:hint="eastAsia" w:ascii="仿宋" w:hAnsi="仿宋" w:eastAsia="仿宋" w:cs="仿宋_GB2312"/>
          <w:b w:val="0"/>
          <w:bCs/>
          <w:color w:val="auto"/>
          <w:sz w:val="32"/>
          <w:szCs w:val="32"/>
        </w:rPr>
      </w:pPr>
      <w:r>
        <w:rPr>
          <w:rFonts w:hint="eastAsia" w:ascii="楷体" w:hAnsi="楷体" w:eastAsia="楷体" w:cs="仿宋_GB2312"/>
          <w:b w:val="0"/>
          <w:bCs/>
          <w:color w:val="auto"/>
          <w:kern w:val="2"/>
          <w:sz w:val="32"/>
          <w:szCs w:val="32"/>
          <w:lang w:val="en-US" w:eastAsia="zh-CN" w:bidi="ar-SA"/>
        </w:rPr>
        <w:t>第四十条</w:t>
      </w:r>
      <w:r>
        <w:rPr>
          <w:rFonts w:hint="eastAsia" w:ascii="仿宋_GB2312" w:hAnsi="仿宋_GB2312" w:eastAsia="仿宋_GB2312" w:cs="仿宋_GB2312"/>
          <w:b w:val="0"/>
          <w:bCs/>
          <w:color w:val="auto"/>
          <w:kern w:val="2"/>
          <w:sz w:val="32"/>
          <w:szCs w:val="32"/>
          <w:lang w:val="en-US" w:eastAsia="zh-CN" w:bidi="ar-SA"/>
        </w:rPr>
        <w:t xml:space="preserve">  各县（区、市）科技部门、财政部门和市直相关主管部门应当督促项目单位加强内控制度和监督制约机制建设、落实项目资金管理责任，配合市财政局、市科技局开展监督检查和整改工作。</w:t>
      </w:r>
    </w:p>
    <w:p>
      <w:pPr>
        <w:keepNext w:val="0"/>
        <w:keepLines w:val="0"/>
        <w:pageBreakBefore w:val="0"/>
        <w:widowControl w:val="0"/>
        <w:numPr>
          <w:ilvl w:val="0"/>
          <w:numId w:val="0"/>
        </w:numPr>
        <w:kinsoku/>
        <w:overflowPunct/>
        <w:topLinePunct w:val="0"/>
        <w:autoSpaceDE/>
        <w:autoSpaceDN w:val="0"/>
        <w:bidi w:val="0"/>
        <w:adjustRightInd/>
        <w:snapToGrid/>
        <w:spacing w:line="240" w:lineRule="auto"/>
        <w:ind w:firstLine="640" w:firstLineChars="200"/>
        <w:textAlignment w:val="auto"/>
        <w:rPr>
          <w:rFonts w:ascii="仿宋" w:hAnsi="仿宋" w:eastAsia="仿宋" w:cs="仿宋_GB2312"/>
          <w:b w:val="0"/>
          <w:bCs/>
          <w:color w:val="auto"/>
          <w:sz w:val="32"/>
          <w:szCs w:val="32"/>
        </w:rPr>
      </w:pPr>
      <w:r>
        <w:rPr>
          <w:rFonts w:hint="eastAsia" w:ascii="楷体" w:hAnsi="楷体" w:eastAsia="楷体" w:cs="仿宋_GB2312"/>
          <w:b w:val="0"/>
          <w:bCs/>
          <w:color w:val="auto"/>
          <w:kern w:val="2"/>
          <w:sz w:val="32"/>
          <w:szCs w:val="32"/>
          <w:lang w:val="en-US" w:eastAsia="zh-CN" w:bidi="ar-SA"/>
        </w:rPr>
        <w:t xml:space="preserve">第四十一条  </w:t>
      </w:r>
      <w:r>
        <w:rPr>
          <w:rFonts w:hint="eastAsia" w:ascii="仿宋_GB2312" w:hAnsi="仿宋_GB2312" w:eastAsia="仿宋_GB2312" w:cs="仿宋_GB2312"/>
          <w:b w:val="0"/>
          <w:bCs/>
          <w:color w:val="auto"/>
          <w:sz w:val="32"/>
          <w:szCs w:val="32"/>
          <w:lang w:eastAsia="zh-CN"/>
        </w:rPr>
        <w:t>项目单位</w:t>
      </w:r>
      <w:r>
        <w:rPr>
          <w:rFonts w:hint="eastAsia" w:ascii="仿宋_GB2312" w:hAnsi="仿宋_GB2312" w:eastAsia="仿宋_GB2312" w:cs="仿宋_GB2312"/>
          <w:b w:val="0"/>
          <w:bCs/>
          <w:color w:val="auto"/>
          <w:sz w:val="32"/>
          <w:szCs w:val="32"/>
        </w:rPr>
        <w:t>应当根据市</w:t>
      </w:r>
      <w:r>
        <w:rPr>
          <w:rFonts w:hint="eastAsia" w:ascii="仿宋_GB2312" w:hAnsi="仿宋_GB2312" w:eastAsia="仿宋_GB2312" w:cs="仿宋_GB2312"/>
          <w:b w:val="0"/>
          <w:bCs/>
          <w:color w:val="auto"/>
          <w:sz w:val="32"/>
          <w:szCs w:val="32"/>
          <w:lang w:eastAsia="zh-CN"/>
        </w:rPr>
        <w:t>科技部门</w:t>
      </w:r>
      <w:r>
        <w:rPr>
          <w:rFonts w:hint="eastAsia" w:ascii="仿宋_GB2312" w:hAnsi="仿宋_GB2312" w:eastAsia="仿宋_GB2312" w:cs="仿宋_GB2312"/>
          <w:b w:val="0"/>
          <w:bCs/>
          <w:color w:val="auto"/>
          <w:sz w:val="32"/>
          <w:szCs w:val="32"/>
        </w:rPr>
        <w:t>要求提供项目经费使用情况和资金绩效总结报告等材料。</w:t>
      </w:r>
      <w:r>
        <w:rPr>
          <w:rFonts w:hint="eastAsia" w:ascii="仿宋" w:hAnsi="仿宋" w:eastAsia="仿宋" w:cs="仿宋_GB2312"/>
          <w:b w:val="0"/>
          <w:bCs/>
          <w:color w:val="auto"/>
          <w:sz w:val="32"/>
          <w:szCs w:val="32"/>
        </w:rPr>
        <w:t>接受科技、财政、审计、监察等行政主管部门以及科研项目经理人和科研财务助理的检查与监督。</w:t>
      </w:r>
    </w:p>
    <w:p>
      <w:pPr>
        <w:keepNext w:val="0"/>
        <w:keepLines w:val="0"/>
        <w:pageBreakBefore w:val="0"/>
        <w:widowControl w:val="0"/>
        <w:kinsoku/>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pacing w:val="-2"/>
          <w:sz w:val="32"/>
          <w:szCs w:val="32"/>
        </w:rPr>
      </w:pPr>
      <w:r>
        <w:rPr>
          <w:rFonts w:hint="eastAsia" w:ascii="楷体" w:hAnsi="楷体" w:eastAsia="楷体" w:cs="仿宋_GB2312"/>
          <w:b w:val="0"/>
          <w:bCs/>
          <w:color w:val="auto"/>
          <w:sz w:val="32"/>
          <w:szCs w:val="32"/>
        </w:rPr>
        <w:t>第</w:t>
      </w:r>
      <w:r>
        <w:rPr>
          <w:rFonts w:hint="eastAsia" w:ascii="楷体" w:hAnsi="楷体" w:eastAsia="楷体" w:cs="仿宋_GB2312"/>
          <w:b w:val="0"/>
          <w:bCs/>
          <w:color w:val="auto"/>
          <w:sz w:val="32"/>
          <w:szCs w:val="32"/>
          <w:lang w:eastAsia="zh-CN"/>
        </w:rPr>
        <w:t>四十二</w:t>
      </w:r>
      <w:r>
        <w:rPr>
          <w:rFonts w:hint="eastAsia" w:ascii="楷体" w:hAnsi="楷体" w:eastAsia="楷体" w:cs="仿宋_GB2312"/>
          <w:b w:val="0"/>
          <w:bCs/>
          <w:color w:val="auto"/>
          <w:sz w:val="32"/>
          <w:szCs w:val="32"/>
        </w:rPr>
        <w:t>条</w:t>
      </w:r>
      <w:r>
        <w:rPr>
          <w:rFonts w:hint="eastAsia" w:ascii="楷体" w:hAnsi="楷体" w:eastAsia="楷体" w:cs="仿宋_GB2312"/>
          <w:b w:val="0"/>
          <w:bCs/>
          <w:color w:val="auto"/>
          <w:sz w:val="32"/>
          <w:szCs w:val="32"/>
          <w:lang w:val="en-US" w:eastAsia="zh-CN"/>
        </w:rPr>
        <w:t xml:space="preserve">  </w:t>
      </w:r>
      <w:r>
        <w:rPr>
          <w:rFonts w:hint="eastAsia" w:ascii="仿宋" w:hAnsi="仿宋" w:eastAsia="仿宋" w:cs="仿宋_GB2312"/>
          <w:b w:val="0"/>
          <w:bCs/>
          <w:color w:val="auto"/>
          <w:sz w:val="32"/>
          <w:szCs w:val="32"/>
        </w:rPr>
        <w:t>市科技局和市财政局应当依法履行职责，对</w:t>
      </w:r>
      <w:r>
        <w:rPr>
          <w:rFonts w:hint="eastAsia" w:ascii="仿宋" w:hAnsi="仿宋" w:eastAsia="仿宋" w:cs="仿宋_GB2312"/>
          <w:b w:val="0"/>
          <w:bCs/>
          <w:color w:val="auto"/>
          <w:spacing w:val="-2"/>
          <w:sz w:val="32"/>
          <w:szCs w:val="32"/>
          <w:lang w:eastAsia="zh-CN"/>
        </w:rPr>
        <w:t>项目单位</w:t>
      </w:r>
      <w:r>
        <w:rPr>
          <w:rFonts w:hint="eastAsia" w:ascii="仿宋" w:hAnsi="仿宋" w:eastAsia="仿宋" w:cs="仿宋_GB2312"/>
          <w:b w:val="0"/>
          <w:bCs/>
          <w:color w:val="auto"/>
          <w:spacing w:val="-2"/>
          <w:sz w:val="32"/>
          <w:szCs w:val="32"/>
        </w:rPr>
        <w:t>、项目负责人、</w:t>
      </w:r>
      <w:r>
        <w:rPr>
          <w:rFonts w:hint="eastAsia" w:ascii="仿宋" w:hAnsi="仿宋" w:eastAsia="仿宋" w:cs="仿宋_GB2312"/>
          <w:b w:val="0"/>
          <w:bCs/>
          <w:color w:val="auto"/>
          <w:spacing w:val="-2"/>
          <w:sz w:val="32"/>
          <w:szCs w:val="32"/>
          <w:lang w:eastAsia="zh-CN"/>
        </w:rPr>
        <w:t>技术总师</w:t>
      </w:r>
      <w:r>
        <w:rPr>
          <w:rFonts w:hint="eastAsia" w:ascii="仿宋" w:hAnsi="仿宋" w:eastAsia="仿宋" w:cs="仿宋_GB2312"/>
          <w:b w:val="0"/>
          <w:bCs/>
          <w:color w:val="auto"/>
          <w:spacing w:val="-2"/>
          <w:sz w:val="32"/>
          <w:szCs w:val="32"/>
        </w:rPr>
        <w:t>等出现</w:t>
      </w:r>
      <w:r>
        <w:rPr>
          <w:rFonts w:hint="eastAsia" w:ascii="仿宋" w:hAnsi="仿宋" w:eastAsia="仿宋" w:cs="仿宋_GB2312"/>
          <w:b w:val="0"/>
          <w:bCs/>
          <w:color w:val="auto"/>
          <w:sz w:val="32"/>
          <w:szCs w:val="32"/>
          <w:lang w:val="en-US" w:eastAsia="zh-CN"/>
        </w:rPr>
        <w:t>第二十九条规定行为</w:t>
      </w:r>
      <w:r>
        <w:rPr>
          <w:rFonts w:hint="eastAsia" w:ascii="仿宋" w:hAnsi="仿宋" w:eastAsia="仿宋" w:cs="仿宋_GB2312"/>
          <w:b w:val="0"/>
          <w:bCs/>
          <w:color w:val="auto"/>
          <w:sz w:val="32"/>
          <w:szCs w:val="32"/>
        </w:rPr>
        <w:t>的，视情采取责令整改、约谈、通报批评、暂停项目拨款、终止项目执行、追回已拨项目资金、阶段性或永久性限制项目负责人或</w:t>
      </w:r>
      <w:r>
        <w:rPr>
          <w:rFonts w:hint="eastAsia" w:ascii="仿宋" w:hAnsi="仿宋" w:eastAsia="仿宋" w:cs="仿宋_GB2312"/>
          <w:b w:val="0"/>
          <w:bCs/>
          <w:color w:val="auto"/>
          <w:sz w:val="32"/>
          <w:szCs w:val="32"/>
          <w:lang w:eastAsia="zh-CN"/>
        </w:rPr>
        <w:t>项目单位申报</w:t>
      </w:r>
      <w:r>
        <w:rPr>
          <w:rFonts w:hint="eastAsia" w:ascii="仿宋" w:hAnsi="仿宋" w:eastAsia="仿宋" w:cs="仿宋_GB2312"/>
          <w:b w:val="0"/>
          <w:bCs/>
          <w:color w:val="auto"/>
          <w:sz w:val="32"/>
          <w:szCs w:val="32"/>
        </w:rPr>
        <w:t>财政资助项目等措施，并将有关结果向社会公开。</w:t>
      </w:r>
      <w:r>
        <w:rPr>
          <w:rFonts w:hint="eastAsia" w:ascii="仿宋" w:hAnsi="仿宋" w:eastAsia="仿宋" w:cs="仿宋_GB2312"/>
          <w:b w:val="0"/>
          <w:bCs/>
          <w:color w:val="auto"/>
          <w:spacing w:val="-2"/>
          <w:sz w:val="32"/>
          <w:szCs w:val="32"/>
        </w:rPr>
        <w:t>涉嫌犯罪的，移送有关机关处理。</w:t>
      </w:r>
    </w:p>
    <w:p>
      <w:pPr>
        <w:keepNext w:val="0"/>
        <w:keepLines w:val="0"/>
        <w:pageBreakBefore w:val="0"/>
        <w:widowControl w:val="0"/>
        <w:kinsoku/>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_GB2312"/>
          <w:b w:val="0"/>
          <w:bCs/>
          <w:color w:val="auto"/>
          <w:spacing w:val="-2"/>
          <w:sz w:val="32"/>
          <w:szCs w:val="32"/>
        </w:rPr>
      </w:pPr>
      <w:r>
        <w:rPr>
          <w:rFonts w:hint="eastAsia" w:ascii="楷体" w:hAnsi="楷体" w:eastAsia="楷体" w:cs="仿宋_GB2312"/>
          <w:b w:val="0"/>
          <w:bCs/>
          <w:color w:val="auto"/>
          <w:sz w:val="32"/>
          <w:szCs w:val="32"/>
        </w:rPr>
        <w:t>第</w:t>
      </w:r>
      <w:r>
        <w:rPr>
          <w:rFonts w:hint="eastAsia" w:ascii="楷体" w:hAnsi="楷体" w:eastAsia="楷体" w:cs="仿宋_GB2312"/>
          <w:b w:val="0"/>
          <w:bCs/>
          <w:color w:val="auto"/>
          <w:sz w:val="32"/>
          <w:szCs w:val="32"/>
          <w:lang w:eastAsia="zh-CN"/>
        </w:rPr>
        <w:t>四十三</w:t>
      </w:r>
      <w:r>
        <w:rPr>
          <w:rFonts w:hint="eastAsia" w:ascii="楷体" w:hAnsi="楷体" w:eastAsia="楷体" w:cs="仿宋_GB2312"/>
          <w:b w:val="0"/>
          <w:bCs/>
          <w:color w:val="auto"/>
          <w:sz w:val="32"/>
          <w:szCs w:val="32"/>
        </w:rPr>
        <w:t>条</w:t>
      </w:r>
      <w:r>
        <w:rPr>
          <w:rFonts w:hint="eastAsia" w:ascii="仿宋" w:hAnsi="仿宋" w:eastAsia="仿宋" w:cs="仿宋_GB2312"/>
          <w:b w:val="0"/>
          <w:bCs/>
          <w:color w:val="auto"/>
          <w:sz w:val="32"/>
          <w:szCs w:val="32"/>
        </w:rPr>
        <w:t xml:space="preserve">  市科技局和市财政局要加强科研诚信管理，</w:t>
      </w:r>
      <w:r>
        <w:rPr>
          <w:rFonts w:ascii="仿宋" w:hAnsi="仿宋" w:eastAsia="仿宋" w:cs="Hiragino Sans GB"/>
          <w:b w:val="0"/>
          <w:bCs/>
          <w:color w:val="auto"/>
          <w:sz w:val="32"/>
          <w:szCs w:val="32"/>
          <w:shd w:val="clear" w:color="auto" w:fill="FFFFFF"/>
        </w:rPr>
        <w:t>对</w:t>
      </w:r>
      <w:r>
        <w:rPr>
          <w:rFonts w:hint="eastAsia" w:ascii="仿宋" w:hAnsi="仿宋" w:eastAsia="仿宋" w:cs="Hiragino Sans GB"/>
          <w:b w:val="0"/>
          <w:bCs/>
          <w:color w:val="auto"/>
          <w:sz w:val="32"/>
          <w:szCs w:val="32"/>
          <w:shd w:val="clear" w:color="auto" w:fill="FFFFFF"/>
          <w:lang w:eastAsia="zh-CN"/>
        </w:rPr>
        <w:t>项目单位</w:t>
      </w:r>
      <w:r>
        <w:rPr>
          <w:rFonts w:ascii="仿宋" w:hAnsi="仿宋" w:eastAsia="仿宋" w:cs="Hiragino Sans GB"/>
          <w:b w:val="0"/>
          <w:bCs/>
          <w:color w:val="auto"/>
          <w:sz w:val="32"/>
          <w:szCs w:val="32"/>
          <w:shd w:val="clear" w:color="auto" w:fill="FFFFFF"/>
        </w:rPr>
        <w:t>、项目负责人、咨询评审专家等参与资金管理使用的行为进行记录和信用评价，</w:t>
      </w:r>
      <w:r>
        <w:rPr>
          <w:rFonts w:hint="eastAsia" w:ascii="仿宋" w:hAnsi="仿宋" w:eastAsia="仿宋"/>
          <w:b w:val="0"/>
          <w:bCs/>
          <w:color w:val="auto"/>
          <w:sz w:val="32"/>
          <w:szCs w:val="32"/>
        </w:rPr>
        <w:t>建立科研诚信“红白黑名单”制度，</w:t>
      </w:r>
      <w:r>
        <w:rPr>
          <w:rFonts w:hint="eastAsia" w:ascii="仿宋" w:hAnsi="仿宋" w:eastAsia="仿宋" w:cs="仿宋_GB2312"/>
          <w:b w:val="0"/>
          <w:bCs/>
          <w:color w:val="auto"/>
          <w:spacing w:val="-2"/>
          <w:sz w:val="32"/>
          <w:szCs w:val="32"/>
        </w:rPr>
        <w:t>对</w:t>
      </w:r>
      <w:r>
        <w:rPr>
          <w:rFonts w:hint="eastAsia" w:ascii="仿宋" w:hAnsi="仿宋" w:eastAsia="仿宋" w:cs="仿宋_GB2312"/>
          <w:b w:val="0"/>
          <w:bCs/>
          <w:color w:val="auto"/>
          <w:spacing w:val="-2"/>
          <w:sz w:val="32"/>
          <w:szCs w:val="32"/>
          <w:lang w:eastAsia="zh-CN"/>
        </w:rPr>
        <w:t>尽责无过错的“白名单”项目单位和相关</w:t>
      </w:r>
      <w:r>
        <w:rPr>
          <w:rFonts w:hint="eastAsia" w:ascii="仿宋" w:hAnsi="仿宋" w:eastAsia="仿宋" w:cs="仿宋_GB2312"/>
          <w:b w:val="0"/>
          <w:bCs/>
          <w:color w:val="auto"/>
          <w:spacing w:val="-2"/>
          <w:sz w:val="32"/>
          <w:szCs w:val="32"/>
        </w:rPr>
        <w:t>人员免予问责</w:t>
      </w:r>
      <w:r>
        <w:rPr>
          <w:rFonts w:hint="eastAsia" w:ascii="仿宋" w:hAnsi="仿宋" w:eastAsia="仿宋" w:cs="仿宋_GB2312"/>
          <w:b w:val="0"/>
          <w:bCs/>
          <w:color w:val="auto"/>
          <w:spacing w:val="-2"/>
          <w:sz w:val="32"/>
          <w:szCs w:val="32"/>
          <w:lang w:eastAsia="zh-CN"/>
        </w:rPr>
        <w:t>，</w:t>
      </w:r>
      <w:r>
        <w:rPr>
          <w:rFonts w:hint="eastAsia" w:ascii="仿宋" w:hAnsi="仿宋" w:eastAsia="仿宋"/>
          <w:b w:val="0"/>
          <w:bCs/>
          <w:color w:val="auto"/>
          <w:sz w:val="32"/>
          <w:szCs w:val="32"/>
        </w:rPr>
        <w:t>对</w:t>
      </w:r>
      <w:r>
        <w:rPr>
          <w:rFonts w:hint="eastAsia" w:ascii="仿宋" w:hAnsi="仿宋" w:eastAsia="仿宋" w:cs="仿宋_GB2312"/>
          <w:b w:val="0"/>
          <w:bCs/>
          <w:color w:val="auto"/>
          <w:spacing w:val="-2"/>
          <w:sz w:val="32"/>
          <w:szCs w:val="32"/>
        </w:rPr>
        <w:t>违规违纪或违法且造成严重后果或恶劣影响的责任主体，纳入“黑名单”，进行追责和惩戒。</w:t>
      </w:r>
    </w:p>
    <w:p>
      <w:pPr>
        <w:keepNext w:val="0"/>
        <w:keepLines w:val="0"/>
        <w:pageBreakBefore w:val="0"/>
        <w:widowControl w:val="0"/>
        <w:kinsoku/>
        <w:overflowPunct/>
        <w:topLinePunct w:val="0"/>
        <w:autoSpaceDE/>
        <w:autoSpaceDN w:val="0"/>
        <w:bidi w:val="0"/>
        <w:adjustRightInd/>
        <w:snapToGrid/>
        <w:spacing w:line="240" w:lineRule="auto"/>
        <w:jc w:val="center"/>
        <w:textAlignment w:val="auto"/>
        <w:rPr>
          <w:rFonts w:ascii="仿宋_GB2312" w:hAnsi="仿宋_GB2312" w:eastAsia="黑体" w:cs="仿宋_GB2312"/>
          <w:b w:val="0"/>
          <w:bCs/>
          <w:color w:val="auto"/>
          <w:sz w:val="32"/>
          <w:szCs w:val="32"/>
        </w:rPr>
      </w:pPr>
      <w:r>
        <w:rPr>
          <w:rFonts w:hint="eastAsia" w:ascii="仿宋_GB2312" w:hAnsi="仿宋_GB2312" w:eastAsia="黑体" w:cs="仿宋_GB2312"/>
          <w:b w:val="0"/>
          <w:bCs/>
          <w:color w:val="auto"/>
          <w:sz w:val="32"/>
          <w:szCs w:val="32"/>
        </w:rPr>
        <w:t>第</w:t>
      </w:r>
      <w:r>
        <w:rPr>
          <w:rFonts w:hint="eastAsia" w:ascii="仿宋_GB2312" w:hAnsi="仿宋_GB2312" w:eastAsia="黑体" w:cs="仿宋_GB2312"/>
          <w:b w:val="0"/>
          <w:bCs/>
          <w:color w:val="auto"/>
          <w:sz w:val="32"/>
          <w:szCs w:val="32"/>
          <w:lang w:val="en-US" w:eastAsia="zh-CN"/>
        </w:rPr>
        <w:t>八</w:t>
      </w:r>
      <w:r>
        <w:rPr>
          <w:rFonts w:hint="eastAsia" w:ascii="仿宋_GB2312" w:hAnsi="仿宋_GB2312" w:eastAsia="黑体" w:cs="仿宋_GB2312"/>
          <w:b w:val="0"/>
          <w:bCs/>
          <w:color w:val="auto"/>
          <w:sz w:val="32"/>
          <w:szCs w:val="32"/>
        </w:rPr>
        <w:t>章  附  则</w:t>
      </w:r>
    </w:p>
    <w:p>
      <w:pPr>
        <w:keepNext w:val="0"/>
        <w:keepLines w:val="0"/>
        <w:pageBreakBefore w:val="0"/>
        <w:widowControl w:val="0"/>
        <w:kinsoku/>
        <w:overflowPunct/>
        <w:topLinePunct w:val="0"/>
        <w:autoSpaceDE/>
        <w:autoSpaceDN w:val="0"/>
        <w:bidi w:val="0"/>
        <w:adjustRightInd/>
        <w:snapToGrid/>
        <w:spacing w:line="240" w:lineRule="auto"/>
        <w:ind w:firstLine="640" w:firstLineChars="200"/>
        <w:textAlignment w:val="auto"/>
        <w:rPr>
          <w:rFonts w:ascii="仿宋" w:hAnsi="仿宋" w:eastAsia="仿宋" w:cs="仿宋_GB2312"/>
          <w:b w:val="0"/>
          <w:bCs/>
          <w:color w:val="auto"/>
          <w:sz w:val="32"/>
          <w:szCs w:val="32"/>
        </w:rPr>
      </w:pPr>
      <w:r>
        <w:rPr>
          <w:rFonts w:hint="eastAsia" w:ascii="楷体" w:hAnsi="楷体" w:eastAsia="楷体" w:cs="仿宋_GB2312"/>
          <w:b w:val="0"/>
          <w:bCs/>
          <w:color w:val="auto"/>
          <w:sz w:val="32"/>
          <w:szCs w:val="32"/>
        </w:rPr>
        <w:t>第</w:t>
      </w:r>
      <w:r>
        <w:rPr>
          <w:rFonts w:hint="eastAsia" w:ascii="楷体" w:hAnsi="楷体" w:eastAsia="楷体" w:cs="仿宋_GB2312"/>
          <w:b w:val="0"/>
          <w:bCs/>
          <w:color w:val="auto"/>
          <w:sz w:val="32"/>
          <w:szCs w:val="32"/>
          <w:lang w:eastAsia="zh-CN"/>
        </w:rPr>
        <w:t>四十四</w:t>
      </w:r>
      <w:r>
        <w:rPr>
          <w:rFonts w:hint="eastAsia" w:ascii="楷体" w:hAnsi="楷体" w:eastAsia="楷体" w:cs="仿宋_GB2312"/>
          <w:b w:val="0"/>
          <w:bCs/>
          <w:color w:val="auto"/>
          <w:sz w:val="32"/>
          <w:szCs w:val="32"/>
        </w:rPr>
        <w:t>条</w:t>
      </w:r>
      <w:r>
        <w:rPr>
          <w:rFonts w:hint="eastAsia" w:ascii="仿宋_GB2312" w:hAnsi="仿宋_GB2312" w:eastAsia="仿宋_GB2312" w:cs="仿宋_GB2312"/>
          <w:b w:val="0"/>
          <w:bCs/>
          <w:color w:val="auto"/>
          <w:sz w:val="32"/>
          <w:szCs w:val="32"/>
        </w:rPr>
        <w:t xml:space="preserve">  本办法自  年  月  日起施行。</w:t>
      </w:r>
      <w:r>
        <w:rPr>
          <w:rFonts w:ascii="仿宋" w:hAnsi="仿宋" w:eastAsia="仿宋" w:cs="仿宋_GB2312"/>
          <w:b w:val="0"/>
          <w:bCs/>
          <w:color w:val="auto"/>
          <w:sz w:val="32"/>
          <w:szCs w:val="32"/>
          <w:shd w:val="clear" w:color="auto" w:fill="FFFFFF"/>
        </w:rPr>
        <w:t>201</w:t>
      </w:r>
      <w:r>
        <w:rPr>
          <w:rFonts w:hint="eastAsia" w:ascii="仿宋" w:hAnsi="仿宋" w:eastAsia="仿宋" w:cs="仿宋_GB2312"/>
          <w:b w:val="0"/>
          <w:bCs/>
          <w:color w:val="auto"/>
          <w:sz w:val="32"/>
          <w:szCs w:val="32"/>
          <w:shd w:val="clear" w:color="auto" w:fill="FFFFFF"/>
        </w:rPr>
        <w:t>8</w:t>
      </w:r>
      <w:r>
        <w:rPr>
          <w:rFonts w:ascii="仿宋" w:hAnsi="仿宋" w:eastAsia="仿宋" w:cs="仿宋_GB2312"/>
          <w:b w:val="0"/>
          <w:bCs/>
          <w:color w:val="auto"/>
          <w:sz w:val="32"/>
          <w:szCs w:val="32"/>
          <w:shd w:val="clear" w:color="auto" w:fill="FFFFFF"/>
        </w:rPr>
        <w:t>年5月31日</w:t>
      </w:r>
      <w:r>
        <w:rPr>
          <w:rFonts w:hint="eastAsia" w:ascii="仿宋" w:hAnsi="仿宋" w:eastAsia="仿宋" w:cs="仿宋_GB2312"/>
          <w:b w:val="0"/>
          <w:bCs/>
          <w:color w:val="auto"/>
          <w:sz w:val="32"/>
          <w:szCs w:val="32"/>
          <w:shd w:val="clear" w:color="auto" w:fill="FFFFFF"/>
        </w:rPr>
        <w:t>晋中市政府办印发的</w:t>
      </w:r>
      <w:r>
        <w:rPr>
          <w:rFonts w:ascii="仿宋" w:hAnsi="仿宋" w:eastAsia="仿宋" w:cs="仿宋_GB2312"/>
          <w:b w:val="0"/>
          <w:bCs/>
          <w:color w:val="auto"/>
          <w:sz w:val="32"/>
          <w:szCs w:val="32"/>
          <w:shd w:val="clear" w:color="auto" w:fill="FFFFFF"/>
        </w:rPr>
        <w:t>《晋中市科研项目经费和科技活动经费管理办法（试行）</w:t>
      </w:r>
      <w:r>
        <w:rPr>
          <w:rFonts w:hint="eastAsia" w:ascii="仿宋" w:hAnsi="仿宋" w:eastAsia="仿宋" w:cs="仿宋_GB2312"/>
          <w:b w:val="0"/>
          <w:bCs/>
          <w:color w:val="auto"/>
          <w:sz w:val="32"/>
          <w:szCs w:val="32"/>
          <w:shd w:val="clear" w:color="auto" w:fill="FFFFFF"/>
        </w:rPr>
        <w:t>（</w:t>
      </w:r>
      <w:r>
        <w:rPr>
          <w:rFonts w:hint="eastAsia" w:ascii="仿宋" w:hAnsi="仿宋" w:eastAsia="仿宋" w:cs="宋体"/>
          <w:b w:val="0"/>
          <w:bCs/>
          <w:color w:val="auto"/>
          <w:sz w:val="32"/>
          <w:szCs w:val="32"/>
        </w:rPr>
        <w:t>市政办发〔2018〕40号</w:t>
      </w:r>
      <w:r>
        <w:rPr>
          <w:rFonts w:hint="eastAsia" w:ascii="仿宋" w:hAnsi="仿宋" w:eastAsia="仿宋" w:cs="仿宋_GB2312"/>
          <w:b w:val="0"/>
          <w:bCs/>
          <w:color w:val="auto"/>
          <w:sz w:val="32"/>
          <w:szCs w:val="32"/>
          <w:shd w:val="clear" w:color="auto" w:fill="FFFFFF"/>
        </w:rPr>
        <w:t>）</w:t>
      </w:r>
      <w:r>
        <w:rPr>
          <w:rFonts w:ascii="仿宋" w:hAnsi="仿宋" w:eastAsia="仿宋" w:cs="仿宋_GB2312"/>
          <w:b w:val="0"/>
          <w:bCs/>
          <w:color w:val="auto"/>
          <w:sz w:val="32"/>
          <w:szCs w:val="32"/>
          <w:shd w:val="clear" w:color="auto" w:fill="FFFFFF"/>
        </w:rPr>
        <w:t>》</w:t>
      </w:r>
      <w:r>
        <w:rPr>
          <w:rFonts w:hint="eastAsia" w:ascii="仿宋" w:hAnsi="仿宋" w:eastAsia="仿宋" w:cs="仿宋_GB2312"/>
          <w:b w:val="0"/>
          <w:bCs/>
          <w:color w:val="auto"/>
          <w:sz w:val="32"/>
          <w:szCs w:val="32"/>
          <w:shd w:val="clear" w:color="auto" w:fill="FFFFFF"/>
        </w:rPr>
        <w:t>同时废止</w:t>
      </w:r>
      <w:r>
        <w:rPr>
          <w:rFonts w:ascii="仿宋" w:hAnsi="仿宋" w:eastAsia="仿宋" w:cs="仿宋_GB2312"/>
          <w:b w:val="0"/>
          <w:bCs/>
          <w:color w:val="auto"/>
          <w:sz w:val="32"/>
          <w:szCs w:val="32"/>
          <w:shd w:val="clear" w:color="auto" w:fill="FFFFFF"/>
        </w:rPr>
        <w:t>。</w:t>
      </w:r>
      <w:r>
        <w:rPr>
          <w:rFonts w:hint="eastAsia" w:ascii="仿宋" w:hAnsi="仿宋" w:eastAsia="仿宋" w:cs="仿宋_GB2312"/>
          <w:b w:val="0"/>
          <w:bCs/>
          <w:color w:val="auto"/>
          <w:sz w:val="32"/>
          <w:szCs w:val="32"/>
          <w:shd w:val="clear" w:color="auto" w:fill="FFFFFF"/>
        </w:rPr>
        <w:t>本办法实施前已立项尚未处理完毕的市科技计划项目的资金管理按照本办法执行。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Hiragino Sans GB">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MmRmYjY0MGIyMjk0ZWJhMzJjZjZkMGQwMDdjMzkifQ=="/>
  </w:docVars>
  <w:rsids>
    <w:rsidRoot w:val="1A7320C3"/>
    <w:rsid w:val="000013EA"/>
    <w:rsid w:val="000034EC"/>
    <w:rsid w:val="00007B4E"/>
    <w:rsid w:val="000235B3"/>
    <w:rsid w:val="00032510"/>
    <w:rsid w:val="00036331"/>
    <w:rsid w:val="000809B0"/>
    <w:rsid w:val="00091F89"/>
    <w:rsid w:val="000B5CD2"/>
    <w:rsid w:val="00101009"/>
    <w:rsid w:val="00106B04"/>
    <w:rsid w:val="00167582"/>
    <w:rsid w:val="001939B7"/>
    <w:rsid w:val="001A4600"/>
    <w:rsid w:val="001B4FE7"/>
    <w:rsid w:val="001D29EC"/>
    <w:rsid w:val="001D766B"/>
    <w:rsid w:val="001E4D7F"/>
    <w:rsid w:val="0021355A"/>
    <w:rsid w:val="00230CFF"/>
    <w:rsid w:val="00240A16"/>
    <w:rsid w:val="00240E5C"/>
    <w:rsid w:val="00243108"/>
    <w:rsid w:val="00246F3B"/>
    <w:rsid w:val="002637D4"/>
    <w:rsid w:val="002E2F8C"/>
    <w:rsid w:val="003321C3"/>
    <w:rsid w:val="00340732"/>
    <w:rsid w:val="00340AB8"/>
    <w:rsid w:val="003611B5"/>
    <w:rsid w:val="0036542B"/>
    <w:rsid w:val="0036618C"/>
    <w:rsid w:val="00372640"/>
    <w:rsid w:val="0039171D"/>
    <w:rsid w:val="003935D3"/>
    <w:rsid w:val="003B6F6D"/>
    <w:rsid w:val="003C28DE"/>
    <w:rsid w:val="003E3AC5"/>
    <w:rsid w:val="003F6D84"/>
    <w:rsid w:val="00404388"/>
    <w:rsid w:val="00405FCA"/>
    <w:rsid w:val="00420088"/>
    <w:rsid w:val="00447BB8"/>
    <w:rsid w:val="0047367C"/>
    <w:rsid w:val="00481FD5"/>
    <w:rsid w:val="004A2B9E"/>
    <w:rsid w:val="004A6135"/>
    <w:rsid w:val="004C390C"/>
    <w:rsid w:val="004E0E0B"/>
    <w:rsid w:val="0051256F"/>
    <w:rsid w:val="0051799E"/>
    <w:rsid w:val="00520FA5"/>
    <w:rsid w:val="0058003F"/>
    <w:rsid w:val="00583DE9"/>
    <w:rsid w:val="0059768C"/>
    <w:rsid w:val="005B575B"/>
    <w:rsid w:val="005C2BFE"/>
    <w:rsid w:val="005C6F6D"/>
    <w:rsid w:val="00632AD3"/>
    <w:rsid w:val="00637245"/>
    <w:rsid w:val="0064616C"/>
    <w:rsid w:val="006A7288"/>
    <w:rsid w:val="006B70BF"/>
    <w:rsid w:val="006B74E0"/>
    <w:rsid w:val="00700C63"/>
    <w:rsid w:val="00701631"/>
    <w:rsid w:val="0073306F"/>
    <w:rsid w:val="00734EDF"/>
    <w:rsid w:val="00763D4B"/>
    <w:rsid w:val="007738FF"/>
    <w:rsid w:val="007755FA"/>
    <w:rsid w:val="00783C15"/>
    <w:rsid w:val="007918FA"/>
    <w:rsid w:val="007F020B"/>
    <w:rsid w:val="00805A03"/>
    <w:rsid w:val="008175E2"/>
    <w:rsid w:val="00830CAC"/>
    <w:rsid w:val="008376F5"/>
    <w:rsid w:val="008463C8"/>
    <w:rsid w:val="008514C0"/>
    <w:rsid w:val="00876D5B"/>
    <w:rsid w:val="0089119E"/>
    <w:rsid w:val="008A3D12"/>
    <w:rsid w:val="008C7A44"/>
    <w:rsid w:val="008D7BA4"/>
    <w:rsid w:val="0091048B"/>
    <w:rsid w:val="0091059B"/>
    <w:rsid w:val="00923AEF"/>
    <w:rsid w:val="009564E9"/>
    <w:rsid w:val="00960CCC"/>
    <w:rsid w:val="0098403A"/>
    <w:rsid w:val="00985488"/>
    <w:rsid w:val="00991C29"/>
    <w:rsid w:val="00992968"/>
    <w:rsid w:val="009A1F44"/>
    <w:rsid w:val="009C5E0C"/>
    <w:rsid w:val="009E2EE3"/>
    <w:rsid w:val="00A21442"/>
    <w:rsid w:val="00A30768"/>
    <w:rsid w:val="00A3373D"/>
    <w:rsid w:val="00A858B7"/>
    <w:rsid w:val="00A872D0"/>
    <w:rsid w:val="00A90F8B"/>
    <w:rsid w:val="00A944FE"/>
    <w:rsid w:val="00AC576C"/>
    <w:rsid w:val="00B21C80"/>
    <w:rsid w:val="00B43375"/>
    <w:rsid w:val="00B63B96"/>
    <w:rsid w:val="00BA3362"/>
    <w:rsid w:val="00BC1E0A"/>
    <w:rsid w:val="00BD2C56"/>
    <w:rsid w:val="00BD73C6"/>
    <w:rsid w:val="00BF55D9"/>
    <w:rsid w:val="00C0388F"/>
    <w:rsid w:val="00C25498"/>
    <w:rsid w:val="00C57E01"/>
    <w:rsid w:val="00C57F85"/>
    <w:rsid w:val="00C62048"/>
    <w:rsid w:val="00CC03FC"/>
    <w:rsid w:val="00CC636D"/>
    <w:rsid w:val="00D76E62"/>
    <w:rsid w:val="00DC66DE"/>
    <w:rsid w:val="00DC7F1D"/>
    <w:rsid w:val="00DF1E4B"/>
    <w:rsid w:val="00E27D59"/>
    <w:rsid w:val="00E30789"/>
    <w:rsid w:val="00E367B7"/>
    <w:rsid w:val="00E37ABC"/>
    <w:rsid w:val="00E46952"/>
    <w:rsid w:val="00E55E87"/>
    <w:rsid w:val="00E62924"/>
    <w:rsid w:val="00E64057"/>
    <w:rsid w:val="00E66990"/>
    <w:rsid w:val="00E67BB3"/>
    <w:rsid w:val="00E73FE6"/>
    <w:rsid w:val="00E80620"/>
    <w:rsid w:val="00EB116B"/>
    <w:rsid w:val="00EC1020"/>
    <w:rsid w:val="00EC763A"/>
    <w:rsid w:val="00F273EB"/>
    <w:rsid w:val="00F27BBD"/>
    <w:rsid w:val="00FA38C6"/>
    <w:rsid w:val="00FA6105"/>
    <w:rsid w:val="00FB16A4"/>
    <w:rsid w:val="00FB7048"/>
    <w:rsid w:val="00FE3ABF"/>
    <w:rsid w:val="02655201"/>
    <w:rsid w:val="06FA2D14"/>
    <w:rsid w:val="0924150D"/>
    <w:rsid w:val="0B864C86"/>
    <w:rsid w:val="1A111757"/>
    <w:rsid w:val="1A7320C3"/>
    <w:rsid w:val="2082607C"/>
    <w:rsid w:val="256B59EC"/>
    <w:rsid w:val="2B5B67F6"/>
    <w:rsid w:val="2C6C159D"/>
    <w:rsid w:val="2D5118B9"/>
    <w:rsid w:val="2F26235C"/>
    <w:rsid w:val="2FF9972A"/>
    <w:rsid w:val="32A01ED4"/>
    <w:rsid w:val="341B222F"/>
    <w:rsid w:val="36AB783D"/>
    <w:rsid w:val="3A9C596E"/>
    <w:rsid w:val="3E7E46AD"/>
    <w:rsid w:val="3FFC35C7"/>
    <w:rsid w:val="42146437"/>
    <w:rsid w:val="4632463F"/>
    <w:rsid w:val="477B1DF6"/>
    <w:rsid w:val="4D294D43"/>
    <w:rsid w:val="4D67CE37"/>
    <w:rsid w:val="4EBC2BBB"/>
    <w:rsid w:val="53F33BFE"/>
    <w:rsid w:val="54B744DD"/>
    <w:rsid w:val="58E10776"/>
    <w:rsid w:val="59535681"/>
    <w:rsid w:val="5AFE2D5A"/>
    <w:rsid w:val="5BDCE236"/>
    <w:rsid w:val="5C7D1E8D"/>
    <w:rsid w:val="5CFC1399"/>
    <w:rsid w:val="5DBFA0C4"/>
    <w:rsid w:val="5FDEA74B"/>
    <w:rsid w:val="5FE7E2DC"/>
    <w:rsid w:val="5FFFC1EC"/>
    <w:rsid w:val="64D30F52"/>
    <w:rsid w:val="66AE464F"/>
    <w:rsid w:val="6C092867"/>
    <w:rsid w:val="6DDEBC7B"/>
    <w:rsid w:val="6FFC7DF2"/>
    <w:rsid w:val="73BB4F5F"/>
    <w:rsid w:val="73E444BF"/>
    <w:rsid w:val="755F1444"/>
    <w:rsid w:val="75EF543A"/>
    <w:rsid w:val="76130E3C"/>
    <w:rsid w:val="77FFBD1F"/>
    <w:rsid w:val="78DBA335"/>
    <w:rsid w:val="7AF7D83E"/>
    <w:rsid w:val="7AFC328D"/>
    <w:rsid w:val="7AFEACD2"/>
    <w:rsid w:val="7B6D7D00"/>
    <w:rsid w:val="7BDEFEFA"/>
    <w:rsid w:val="7BE3CFDB"/>
    <w:rsid w:val="7DFF7F52"/>
    <w:rsid w:val="7E5751DF"/>
    <w:rsid w:val="7EDD7E2E"/>
    <w:rsid w:val="7EF0DDC5"/>
    <w:rsid w:val="7F5BDA61"/>
    <w:rsid w:val="7F5F4EB0"/>
    <w:rsid w:val="7F7AF202"/>
    <w:rsid w:val="7F7F1425"/>
    <w:rsid w:val="8BBE070C"/>
    <w:rsid w:val="8FAF552E"/>
    <w:rsid w:val="9B9A738C"/>
    <w:rsid w:val="AEFF3BD3"/>
    <w:rsid w:val="B45A8910"/>
    <w:rsid w:val="BF1518C1"/>
    <w:rsid w:val="CFFF87D0"/>
    <w:rsid w:val="D47E8368"/>
    <w:rsid w:val="DB8D9AD5"/>
    <w:rsid w:val="ECFF9DA4"/>
    <w:rsid w:val="EDFF1839"/>
    <w:rsid w:val="EFB4C34D"/>
    <w:rsid w:val="EFEFE30B"/>
    <w:rsid w:val="F2EEADD7"/>
    <w:rsid w:val="F471D3A1"/>
    <w:rsid w:val="F6FF2B53"/>
    <w:rsid w:val="F7411303"/>
    <w:rsid w:val="F9FB7F0E"/>
    <w:rsid w:val="FB7937EF"/>
    <w:rsid w:val="FBB71523"/>
    <w:rsid w:val="FBBFCD3A"/>
    <w:rsid w:val="FCB7FF12"/>
    <w:rsid w:val="FDFF05AE"/>
    <w:rsid w:val="FFDF60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8421</Words>
  <Characters>8463</Characters>
  <Lines>27</Lines>
  <Paragraphs>7</Paragraphs>
  <TotalTime>8</TotalTime>
  <ScaleCrop>false</ScaleCrop>
  <LinksUpToDate>false</LinksUpToDate>
  <CharactersWithSpaces>8652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2022-07-05T04:05:00Z</dcterms:created>
  <dc:creator>Administrator</dc:creator>
  <cp:lastModifiedBy>1006wel</cp:lastModifiedBy>
  <cp:lastPrinted>2022-08-23T08:35:16Z</cp:lastPrinted>
  <dcterms:modified xsi:type="dcterms:W3CDTF">2022-08-31T09:14:16Z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2318B74992FF4772B7555B7CDAEAFB64</vt:lpwstr>
  </property>
</Properties>
</file>