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华文中宋" w:hAnsi="华文中宋" w:eastAsia="华文中宋" w:cs="华文中宋"/>
          <w:sz w:val="44"/>
          <w:szCs w:val="44"/>
          <w:lang w:val="en-US" w:eastAsia="zh-CN"/>
        </w:rPr>
        <w:t>培训资料要点</w:t>
      </w:r>
    </w:p>
    <w:p>
      <w:pPr>
        <w:jc w:val="left"/>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一、</w:t>
      </w:r>
      <w:r>
        <w:rPr>
          <w:rFonts w:hint="eastAsia" w:ascii="黑体" w:hAnsi="黑体" w:eastAsia="黑体" w:cs="黑体"/>
          <w:sz w:val="32"/>
          <w:szCs w:val="32"/>
        </w:rPr>
        <w:t>《晋中市科技计划管理办法（试行）》</w:t>
      </w:r>
    </w:p>
    <w:p>
      <w:pPr>
        <w:numPr>
          <w:ilvl w:val="0"/>
          <w:numId w:val="0"/>
        </w:numPr>
        <w:ind w:firstLine="640" w:firstLineChars="200"/>
        <w:jc w:val="both"/>
        <w:rPr>
          <w:rFonts w:hint="eastAsia" w:ascii="楷体" w:hAnsi="楷体" w:eastAsia="楷体" w:cs="楷体"/>
          <w:sz w:val="32"/>
          <w:szCs w:val="32"/>
          <w:lang w:eastAsia="zh-CN"/>
        </w:rPr>
      </w:pPr>
      <w:r>
        <w:rPr>
          <w:rFonts w:hint="eastAsia" w:ascii="楷体" w:hAnsi="楷体" w:eastAsia="楷体" w:cs="楷体"/>
          <w:sz w:val="32"/>
          <w:szCs w:val="32"/>
          <w:lang w:eastAsia="zh-CN"/>
        </w:rPr>
        <w:t>（一）计划类别</w:t>
      </w:r>
    </w:p>
    <w:tbl>
      <w:tblPr>
        <w:tblStyle w:val="8"/>
        <w:tblW w:w="7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4"/>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restart"/>
            <w:vAlign w:val="center"/>
          </w:tcPr>
          <w:p>
            <w:pPr>
              <w:numPr>
                <w:ilvl w:val="0"/>
                <w:numId w:val="0"/>
              </w:num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重点研发计划</w:t>
            </w: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continue"/>
            <w:vAlign w:val="center"/>
          </w:tcPr>
          <w:p>
            <w:pPr>
              <w:numPr>
                <w:ilvl w:val="0"/>
                <w:numId w:val="0"/>
              </w:numPr>
              <w:jc w:val="center"/>
              <w:rPr>
                <w:rFonts w:hint="eastAsia" w:ascii="仿宋_GB2312" w:hAnsi="仿宋_GB2312" w:eastAsia="仿宋_GB2312" w:cs="仿宋_GB2312"/>
                <w:sz w:val="24"/>
                <w:szCs w:val="24"/>
              </w:rPr>
            </w:pP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continue"/>
            <w:vAlign w:val="center"/>
          </w:tcPr>
          <w:p>
            <w:pPr>
              <w:numPr>
                <w:ilvl w:val="0"/>
                <w:numId w:val="0"/>
              </w:numPr>
              <w:jc w:val="center"/>
              <w:rPr>
                <w:rFonts w:hint="eastAsia" w:ascii="仿宋_GB2312" w:hAnsi="仿宋_GB2312" w:eastAsia="仿宋_GB2312" w:cs="仿宋_GB2312"/>
                <w:sz w:val="24"/>
                <w:szCs w:val="24"/>
              </w:rPr>
            </w:pP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restart"/>
            <w:vAlign w:val="center"/>
          </w:tcPr>
          <w:p>
            <w:pPr>
              <w:numPr>
                <w:ilvl w:val="0"/>
                <w:numId w:val="0"/>
              </w:num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科技成果转化与应用计划</w:t>
            </w: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成果推广（事前、奖励性后补助）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534" w:type="dxa"/>
            <w:vMerge w:val="continue"/>
            <w:vAlign w:val="center"/>
          </w:tcPr>
          <w:p>
            <w:pPr>
              <w:numPr>
                <w:ilvl w:val="0"/>
                <w:numId w:val="0"/>
              </w:numPr>
              <w:jc w:val="center"/>
              <w:rPr>
                <w:rFonts w:hint="eastAsia" w:ascii="仿宋_GB2312" w:hAnsi="仿宋_GB2312" w:eastAsia="仿宋_GB2312" w:cs="仿宋_GB2312"/>
                <w:sz w:val="24"/>
                <w:szCs w:val="24"/>
              </w:rPr>
            </w:pP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专利推广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continue"/>
            <w:vAlign w:val="center"/>
          </w:tcPr>
          <w:p>
            <w:pPr>
              <w:numPr>
                <w:ilvl w:val="0"/>
                <w:numId w:val="0"/>
              </w:numPr>
              <w:jc w:val="center"/>
              <w:rPr>
                <w:rFonts w:hint="eastAsia" w:ascii="仿宋_GB2312" w:hAnsi="仿宋_GB2312" w:eastAsia="仿宋_GB2312" w:cs="仿宋_GB2312"/>
                <w:sz w:val="24"/>
                <w:szCs w:val="24"/>
              </w:rPr>
            </w:pPr>
          </w:p>
        </w:tc>
        <w:tc>
          <w:tcPr>
            <w:tcW w:w="4005" w:type="dxa"/>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科技扶贫</w:t>
            </w:r>
            <w:r>
              <w:rPr>
                <w:rFonts w:hint="eastAsia" w:ascii="仿宋_GB2312" w:hAnsi="仿宋_GB2312" w:eastAsia="仿宋_GB2312" w:cs="仿宋_GB2312"/>
                <w:sz w:val="24"/>
                <w:szCs w:val="24"/>
                <w:lang w:val="en-US" w:eastAsia="zh-CN"/>
              </w:rPr>
              <w:t>(科技扶贫、</w:t>
            </w:r>
            <w:r>
              <w:rPr>
                <w:rFonts w:hint="eastAsia" w:ascii="仿宋_GB2312" w:hAnsi="仿宋_GB2312" w:eastAsia="仿宋_GB2312" w:cs="仿宋_GB2312"/>
                <w:sz w:val="24"/>
                <w:szCs w:val="24"/>
                <w:lang w:eastAsia="zh-CN"/>
              </w:rPr>
              <w:t>农村技术承包）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restart"/>
            <w:vAlign w:val="center"/>
          </w:tcPr>
          <w:p>
            <w:pPr>
              <w:numPr>
                <w:ilvl w:val="0"/>
                <w:numId w:val="0"/>
              </w:num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科技创新载体与平台建设计划</w:t>
            </w: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重点科技创新平台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continue"/>
            <w:vAlign w:val="center"/>
          </w:tcPr>
          <w:p>
            <w:pPr>
              <w:numPr>
                <w:ilvl w:val="0"/>
                <w:numId w:val="0"/>
              </w:numPr>
              <w:jc w:val="center"/>
              <w:rPr>
                <w:rFonts w:hint="eastAsia" w:ascii="仿宋_GB2312" w:hAnsi="仿宋_GB2312" w:eastAsia="仿宋_GB2312" w:cs="仿宋_GB2312"/>
                <w:sz w:val="24"/>
                <w:szCs w:val="24"/>
              </w:rPr>
            </w:pP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科技创新载体与平台建设计划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restart"/>
            <w:vAlign w:val="center"/>
          </w:tcPr>
          <w:p>
            <w:pPr>
              <w:numPr>
                <w:ilvl w:val="0"/>
                <w:numId w:val="0"/>
              </w:num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软科学计划</w:t>
            </w: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vMerge w:val="continue"/>
            <w:vAlign w:val="center"/>
          </w:tcPr>
          <w:p>
            <w:pPr>
              <w:numPr>
                <w:ilvl w:val="0"/>
                <w:numId w:val="0"/>
              </w:numPr>
              <w:jc w:val="center"/>
              <w:rPr>
                <w:rFonts w:hint="eastAsia" w:ascii="仿宋_GB2312" w:hAnsi="仿宋_GB2312" w:eastAsia="仿宋_GB2312" w:cs="仿宋_GB2312"/>
                <w:sz w:val="24"/>
                <w:szCs w:val="24"/>
              </w:rPr>
            </w:pPr>
          </w:p>
        </w:tc>
        <w:tc>
          <w:tcPr>
            <w:tcW w:w="4005" w:type="dxa"/>
            <w:vAlign w:val="center"/>
          </w:tcPr>
          <w:p>
            <w:pPr>
              <w:numPr>
                <w:ilvl w:val="0"/>
                <w:numId w:val="0"/>
              </w:num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w:t>
            </w:r>
          </w:p>
        </w:tc>
      </w:tr>
    </w:tbl>
    <w:p>
      <w:pPr>
        <w:numPr>
          <w:ilvl w:val="0"/>
          <w:numId w:val="0"/>
        </w:num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（二）工作职责</w:t>
      </w:r>
    </w:p>
    <w:tbl>
      <w:tblPr>
        <w:tblStyle w:val="8"/>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42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754" w:type="dxa"/>
            <w:gridSpan w:val="2"/>
            <w:vAlign w:val="center"/>
          </w:tcPr>
          <w:p>
            <w:pPr>
              <w:numPr>
                <w:ilvl w:val="0"/>
                <w:numId w:val="0"/>
              </w:num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类别</w:t>
            </w:r>
          </w:p>
        </w:tc>
        <w:tc>
          <w:tcPr>
            <w:tcW w:w="6180" w:type="dxa"/>
            <w:vAlign w:val="center"/>
          </w:tcPr>
          <w:p>
            <w:pPr>
              <w:numPr>
                <w:ilvl w:val="0"/>
                <w:numId w:val="0"/>
              </w:num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gridSpan w:val="2"/>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rPr>
              <w:t>市科技计划主管部门</w:t>
            </w:r>
          </w:p>
        </w:tc>
        <w:tc>
          <w:tcPr>
            <w:tcW w:w="6180" w:type="dxa"/>
            <w:vAlign w:val="center"/>
          </w:tcPr>
          <w:p>
            <w:pPr>
              <w:numPr>
                <w:ilvl w:val="0"/>
                <w:numId w:val="0"/>
              </w:numPr>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依据年度工作计划、重点任务拟制项目申报指南，监督检查项目的执行情况，协调和处理项目执行中的有关问题，对专业机构履职尽责情况进行评价和考核，会同市财政主管部门对项目开展绩效评价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Merge w:val="restart"/>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组织单位</w:t>
            </w:r>
          </w:p>
        </w:tc>
        <w:tc>
          <w:tcPr>
            <w:tcW w:w="1425" w:type="dxa"/>
            <w:vAlign w:val="center"/>
          </w:tcPr>
          <w:p>
            <w:pPr>
              <w:numPr>
                <w:ilvl w:val="0"/>
                <w:numId w:val="0"/>
              </w:num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各县（区、市）科技（教科）部门</w:t>
            </w:r>
          </w:p>
        </w:tc>
        <w:tc>
          <w:tcPr>
            <w:tcW w:w="6180" w:type="dxa"/>
            <w:vMerge w:val="restart"/>
            <w:vAlign w:val="center"/>
          </w:tcPr>
          <w:p>
            <w:pPr>
              <w:numPr>
                <w:ilvl w:val="0"/>
                <w:numId w:val="0"/>
              </w:numPr>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协助市科技计划主管部门完成项目的组织实施，审核、报送区域内各类项目的申请及</w:t>
            </w:r>
            <w:r>
              <w:rPr>
                <w:rFonts w:hint="eastAsia" w:ascii="仿宋_GB2312" w:hAnsi="仿宋_GB2312" w:eastAsia="仿宋_GB2312" w:cs="仿宋_GB2312"/>
                <w:sz w:val="24"/>
                <w:szCs w:val="24"/>
                <w:vertAlign w:val="baseline"/>
                <w:lang w:eastAsia="zh-CN"/>
              </w:rPr>
              <w:t>完结</w:t>
            </w:r>
            <w:r>
              <w:rPr>
                <w:rFonts w:hint="eastAsia" w:ascii="仿宋_GB2312" w:hAnsi="仿宋_GB2312" w:eastAsia="仿宋_GB2312" w:cs="仿宋_GB2312"/>
                <w:sz w:val="24"/>
                <w:szCs w:val="24"/>
                <w:vertAlign w:val="baseline"/>
              </w:rPr>
              <w:t>材料，督促项目承担单位按期完成任务，协助做好项目的核查、验收工作。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Merge w:val="continue"/>
            <w:vAlign w:val="center"/>
          </w:tcPr>
          <w:p>
            <w:pPr>
              <w:numPr>
                <w:ilvl w:val="0"/>
                <w:numId w:val="0"/>
              </w:numPr>
              <w:jc w:val="center"/>
              <w:rPr>
                <w:rFonts w:hint="eastAsia" w:ascii="仿宋_GB2312" w:hAnsi="仿宋_GB2312" w:eastAsia="仿宋_GB2312" w:cs="仿宋_GB2312"/>
                <w:sz w:val="24"/>
                <w:szCs w:val="24"/>
                <w:vertAlign w:val="baseline"/>
              </w:rPr>
            </w:pPr>
          </w:p>
        </w:tc>
        <w:tc>
          <w:tcPr>
            <w:tcW w:w="1425" w:type="dxa"/>
            <w:vAlign w:val="center"/>
          </w:tcPr>
          <w:p>
            <w:pPr>
              <w:numPr>
                <w:ilvl w:val="0"/>
                <w:numId w:val="0"/>
              </w:num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市直部门</w:t>
            </w:r>
          </w:p>
        </w:tc>
        <w:tc>
          <w:tcPr>
            <w:tcW w:w="6180" w:type="dxa"/>
            <w:vMerge w:val="continue"/>
            <w:vAlign w:val="center"/>
          </w:tcPr>
          <w:p>
            <w:pPr>
              <w:numPr>
                <w:ilvl w:val="0"/>
                <w:numId w:val="0"/>
              </w:numPr>
              <w:jc w:val="both"/>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承担单位</w:t>
            </w:r>
          </w:p>
        </w:tc>
        <w:tc>
          <w:tcPr>
            <w:tcW w:w="1425" w:type="dxa"/>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企事业单位</w:t>
            </w:r>
          </w:p>
        </w:tc>
        <w:tc>
          <w:tcPr>
            <w:tcW w:w="6180" w:type="dxa"/>
            <w:vAlign w:val="center"/>
          </w:tcPr>
          <w:p>
            <w:pPr>
              <w:numPr>
                <w:ilvl w:val="0"/>
                <w:numId w:val="0"/>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项目的组织实施和资金使用管理，及时报告项目实施中的重大事项，主动公开项目立项、主要研究人员、资金使用、大型仪器设备购置等情况，接受和配合专业机构对项目执行和经费使用的监督检查，督促市级科技计划项目负责人按时完成相关目标任务，管理和应用取得的科技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gridSpan w:val="2"/>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项目负责人</w:t>
            </w:r>
          </w:p>
        </w:tc>
        <w:tc>
          <w:tcPr>
            <w:tcW w:w="6180" w:type="dxa"/>
            <w:vAlign w:val="center"/>
          </w:tcPr>
          <w:p>
            <w:pPr>
              <w:numPr>
                <w:ilvl w:val="0"/>
                <w:numId w:val="0"/>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项目实施的具体工作，检查、督促团队成员按进度实施项目，如实报送项目实施过程中取得的阶段性成果或重要进展，以及影响项目实施的重大事项或问题，组织撰写项目执行报告、完结报告、科技报告，负责项目资料的汇总归档</w:t>
            </w:r>
          </w:p>
        </w:tc>
      </w:tr>
    </w:tbl>
    <w:p>
      <w:pPr>
        <w:numPr>
          <w:ilvl w:val="0"/>
          <w:numId w:val="0"/>
        </w:numPr>
        <w:jc w:val="both"/>
        <w:rPr>
          <w:rFonts w:hint="eastAsia" w:ascii="仿宋_GB2312" w:hAnsi="仿宋_GB2312" w:eastAsia="仿宋_GB2312" w:cs="仿宋_GB2312"/>
          <w:sz w:val="32"/>
          <w:szCs w:val="32"/>
        </w:rPr>
      </w:pPr>
    </w:p>
    <w:p>
      <w:pPr>
        <w:numPr>
          <w:ilvl w:val="0"/>
          <w:numId w:val="0"/>
        </w:numPr>
        <w:spacing w:line="600" w:lineRule="exact"/>
        <w:ind w:left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（三）项目流程</w:t>
      </w:r>
    </w:p>
    <w:p>
      <w:pPr>
        <w:numPr>
          <w:ilvl w:val="0"/>
          <w:numId w:val="0"/>
        </w:numPr>
        <w:spacing w:line="600" w:lineRule="exact"/>
        <w:ind w:leftChars="200"/>
        <w:rPr>
          <w:rFonts w:hint="eastAsia" w:ascii="Arial" w:hAnsi="Arial" w:eastAsia="仿宋_GB2312" w:cs="Arial"/>
          <w:sz w:val="32"/>
          <w:szCs w:val="32"/>
          <w:lang w:val="en-US" w:eastAsia="zh-CN"/>
        </w:rPr>
      </w:pPr>
      <w:r>
        <w:rPr>
          <w:rFonts w:hint="eastAsia" w:ascii="仿宋_GB2312" w:hAnsi="仿宋_GB2312" w:eastAsia="仿宋_GB2312" w:cs="仿宋_GB2312"/>
          <w:sz w:val="32"/>
          <w:szCs w:val="32"/>
          <w:lang w:val="en-US" w:eastAsia="zh-CN"/>
        </w:rPr>
        <w:t>项目申报</w:t>
      </w:r>
      <w:r>
        <w:rPr>
          <w:rFonts w:hint="eastAsia" w:ascii="Arial" w:hAnsi="Arial" w:eastAsia="仿宋_GB2312" w:cs="Arial"/>
          <w:sz w:val="32"/>
          <w:szCs w:val="32"/>
          <w:lang w:val="en-US" w:eastAsia="zh-CN"/>
        </w:rPr>
        <w:t>（不少于50天）</w:t>
      </w:r>
      <w:r>
        <w:rPr>
          <w:rFonts w:hint="eastAsia" w:ascii="仿宋_GB2312" w:hAnsi="仿宋_GB2312" w:eastAsia="仿宋_GB2312" w:cs="仿宋_GB2312"/>
          <w:sz w:val="32"/>
          <w:szCs w:val="32"/>
          <w:lang w:val="en-US" w:eastAsia="zh-CN"/>
        </w:rPr>
        <w:t xml:space="preserve"> </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 xml:space="preserve"> 项目受理</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形式审查</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 xml:space="preserve"> 实地考察 </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专家评审</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拟立项公示</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联席会议审议</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市政府审定</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 xml:space="preserve">    下达资金文件</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签订计划任务书（</w:t>
      </w:r>
      <w:r>
        <w:rPr>
          <w:rFonts w:hint="eastAsia" w:ascii="仿宋_GB2312" w:hAnsi="仿宋_GB2312" w:eastAsia="仿宋_GB2312" w:cs="仿宋_GB2312"/>
          <w:sz w:val="32"/>
          <w:szCs w:val="32"/>
        </w:rPr>
        <w:t>项目下达后1个月内</w:t>
      </w:r>
      <w:r>
        <w:rPr>
          <w:rFonts w:hint="eastAsia" w:ascii="Arial" w:hAnsi="Arial" w:eastAsia="仿宋_GB2312" w:cs="Arial"/>
          <w:sz w:val="32"/>
          <w:szCs w:val="32"/>
          <w:lang w:val="en-US" w:eastAsia="zh-CN"/>
        </w:rPr>
        <w:t>）</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 xml:space="preserve">    中期检查</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项目验收(</w:t>
      </w:r>
      <w:r>
        <w:rPr>
          <w:rFonts w:hint="eastAsia" w:ascii="仿宋_GB2312" w:hAnsi="仿宋_GB2312" w:eastAsia="仿宋_GB2312" w:cs="仿宋_GB2312"/>
          <w:sz w:val="32"/>
          <w:szCs w:val="32"/>
        </w:rPr>
        <w:t>项目完成后，项目承担单位应当在3个月内向专业机构提交结题材料</w:t>
      </w:r>
      <w:r>
        <w:rPr>
          <w:rFonts w:hint="eastAsia" w:ascii="Arial" w:hAnsi="Arial" w:eastAsia="仿宋_GB2312" w:cs="Arial"/>
          <w:sz w:val="32"/>
          <w:szCs w:val="32"/>
          <w:lang w:val="en-US" w:eastAsia="zh-CN"/>
        </w:rPr>
        <w:t>）</w:t>
      </w:r>
    </w:p>
    <w:p>
      <w:pPr>
        <w:numPr>
          <w:ilvl w:val="0"/>
          <w:numId w:val="0"/>
        </w:num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（四）项目调整</w:t>
      </w:r>
    </w:p>
    <w:tbl>
      <w:tblPr>
        <w:tblStyle w:val="8"/>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tcPr>
          <w:p>
            <w:pPr>
              <w:numPr>
                <w:ilvl w:val="0"/>
                <w:numId w:val="0"/>
              </w:numPr>
              <w:spacing w:line="60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调整事项</w:t>
            </w:r>
          </w:p>
        </w:tc>
        <w:tc>
          <w:tcPr>
            <w:tcW w:w="5925" w:type="dxa"/>
          </w:tcPr>
          <w:p>
            <w:pPr>
              <w:numPr>
                <w:ilvl w:val="0"/>
                <w:numId w:val="0"/>
              </w:numPr>
              <w:spacing w:line="600" w:lineRule="exact"/>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对计划目标、执行进度、预算总额及承担单位等合同内容进行变更</w:t>
            </w:r>
          </w:p>
        </w:tc>
        <w:tc>
          <w:tcPr>
            <w:tcW w:w="59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由项目承担单位提出书面申请，经专业机构与项目组织单位共同核实后报市科技计划主管部门审核，并以补充任务书的形式明确修改或调整内容（在平台上变更）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延期申请</w:t>
            </w:r>
          </w:p>
        </w:tc>
        <w:tc>
          <w:tcPr>
            <w:tcW w:w="59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由项目承担单位在项目周期截止30天前提出书面申请，经专业机构与项目组织单位共同核实后报市科技计划主管部门审核，并以补充任务书的形式明确修改或调整内容，延期时限最长不超过1年。（在平台上变更）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终止或撤销的</w:t>
            </w:r>
          </w:p>
        </w:tc>
        <w:tc>
          <w:tcPr>
            <w:tcW w:w="59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由专业机构与项目组织单位共同核实后报市科技计划主管部门审核备案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4"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涉及到调整项目资金使用用途或清退的</w:t>
            </w:r>
          </w:p>
        </w:tc>
        <w:tc>
          <w:tcPr>
            <w:tcW w:w="59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报市财政主管部门按相关管理规定办理。</w:t>
            </w:r>
          </w:p>
        </w:tc>
      </w:tr>
    </w:tbl>
    <w:p>
      <w:pPr>
        <w:numPr>
          <w:ilvl w:val="0"/>
          <w:numId w:val="0"/>
        </w:num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（五）项目验收</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项目验收结果分为通过验收和不通过验收。凡具有下列情形之一的，为不通过验收：</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①</w:t>
      </w:r>
      <w:r>
        <w:rPr>
          <w:rFonts w:hint="eastAsia" w:ascii="仿宋_GB2312" w:hAnsi="仿宋_GB2312" w:eastAsia="仿宋_GB2312" w:cs="仿宋_GB2312"/>
          <w:sz w:val="28"/>
          <w:szCs w:val="28"/>
          <w:lang w:val="en-US" w:eastAsia="zh-CN"/>
        </w:rPr>
        <w:t>完成合同或计划任务书任务不到85%；</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②</w:t>
      </w:r>
      <w:r>
        <w:rPr>
          <w:rFonts w:hint="eastAsia" w:ascii="仿宋_GB2312" w:hAnsi="仿宋_GB2312" w:eastAsia="仿宋_GB2312" w:cs="仿宋_GB2312"/>
          <w:sz w:val="28"/>
          <w:szCs w:val="28"/>
          <w:lang w:val="en-US" w:eastAsia="zh-CN"/>
        </w:rPr>
        <w:t>提供验收的文件、资料、数据不真实的；</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③</w:t>
      </w:r>
      <w:r>
        <w:rPr>
          <w:rFonts w:hint="eastAsia" w:ascii="仿宋_GB2312" w:hAnsi="仿宋_GB2312" w:eastAsia="仿宋_GB2312" w:cs="仿宋_GB2312"/>
          <w:sz w:val="28"/>
          <w:szCs w:val="28"/>
          <w:lang w:val="en-US" w:eastAsia="zh-CN"/>
        </w:rPr>
        <w:t>擅自修改合同或计划任务书考核目标、内容、技术路线的；</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④</w:t>
      </w:r>
      <w:r>
        <w:rPr>
          <w:rFonts w:hint="eastAsia" w:ascii="仿宋_GB2312" w:hAnsi="仿宋_GB2312" w:eastAsia="仿宋_GB2312" w:cs="仿宋_GB2312"/>
          <w:sz w:val="28"/>
          <w:szCs w:val="28"/>
          <w:lang w:val="en-US" w:eastAsia="zh-CN"/>
        </w:rPr>
        <w:t>资金使用存在严重问题的；</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⑤</w:t>
      </w:r>
      <w:r>
        <w:rPr>
          <w:rFonts w:hint="eastAsia" w:ascii="仿宋_GB2312" w:hAnsi="仿宋_GB2312" w:eastAsia="仿宋_GB2312" w:cs="仿宋_GB2312"/>
          <w:sz w:val="28"/>
          <w:szCs w:val="28"/>
          <w:lang w:val="en-US" w:eastAsia="zh-CN"/>
        </w:rPr>
        <w:t>国家、省政策规定的其他情形。</w:t>
      </w:r>
    </w:p>
    <w:p>
      <w:pPr>
        <w:numPr>
          <w:ilvl w:val="0"/>
          <w:numId w:val="0"/>
        </w:numPr>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(六）资金配置</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承担单位为企业的，原则上重点研发计划、科技成果转化与应用计划、科技创新载体与平台建设计划配套资金不低于总投资的50%。</w:t>
      </w:r>
    </w:p>
    <w:p>
      <w:pPr>
        <w:numPr>
          <w:ilvl w:val="0"/>
          <w:numId w:val="1"/>
        </w:numPr>
        <w:spacing w:line="600" w:lineRule="exact"/>
        <w:rPr>
          <w:rFonts w:hint="eastAsia" w:ascii="黑体" w:hAnsi="黑体" w:eastAsia="黑体" w:cs="黑体"/>
          <w:sz w:val="32"/>
          <w:szCs w:val="32"/>
        </w:rPr>
      </w:pPr>
      <w:r>
        <w:rPr>
          <w:rFonts w:hint="eastAsia" w:ascii="黑体" w:hAnsi="黑体" w:eastAsia="黑体" w:cs="黑体"/>
          <w:sz w:val="32"/>
          <w:szCs w:val="32"/>
        </w:rPr>
        <w:t>《晋中市科研项目经费和科技活动经费管理办法（试行）》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（一）经费标准及调整要求</w:t>
      </w:r>
    </w:p>
    <w:tbl>
      <w:tblPr>
        <w:tblStyle w:val="8"/>
        <w:tblpPr w:leftFromText="180" w:rightFromText="180" w:vertAnchor="text" w:horzAnchor="page" w:tblpX="1140" w:tblpY="273"/>
        <w:tblOverlap w:val="never"/>
        <w:tblW w:w="10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325"/>
        <w:gridCol w:w="546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415" w:type="dxa"/>
            <w:gridSpan w:val="2"/>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类别</w:t>
            </w:r>
          </w:p>
        </w:tc>
        <w:tc>
          <w:tcPr>
            <w:tcW w:w="5460" w:type="dxa"/>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要求</w:t>
            </w:r>
          </w:p>
        </w:tc>
        <w:tc>
          <w:tcPr>
            <w:tcW w:w="1320" w:type="dxa"/>
            <w:vAlign w:val="center"/>
          </w:tcPr>
          <w:p>
            <w:pPr>
              <w:numPr>
                <w:ilvl w:val="0"/>
                <w:numId w:val="0"/>
              </w:num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restart"/>
            <w:vAlign w:val="center"/>
          </w:tcPr>
          <w:p>
            <w:pPr>
              <w:numPr>
                <w:ilvl w:val="0"/>
                <w:numId w:val="0"/>
              </w:numPr>
              <w:ind w:left="240" w:hanging="240" w:hangingChars="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直接      费用</w:t>
            </w: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设备费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1320"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可以调减不得调增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材料费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1320" w:type="dxa"/>
            <w:vMerge w:val="restart"/>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项目承担单位自行调剂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测试化验加工费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1320" w:type="dxa"/>
            <w:vMerge w:val="continue"/>
            <w:vAlign w:val="center"/>
          </w:tcPr>
          <w:p>
            <w:pPr>
              <w:numPr>
                <w:ilvl w:val="0"/>
                <w:numId w:val="0"/>
              </w:num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燃料动力费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1320" w:type="dxa"/>
            <w:vMerge w:val="continue"/>
            <w:vAlign w:val="center"/>
          </w:tcPr>
          <w:p>
            <w:pPr>
              <w:numPr>
                <w:ilvl w:val="0"/>
                <w:numId w:val="0"/>
              </w:num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出版/文献/信息传播/知识产权事务费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1320" w:type="dxa"/>
            <w:vMerge w:val="continue"/>
            <w:vAlign w:val="center"/>
          </w:tcPr>
          <w:p>
            <w:pPr>
              <w:numPr>
                <w:ilvl w:val="0"/>
                <w:numId w:val="0"/>
              </w:num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会议费/差旅费/国际合作与交流费/国内协作费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议费、差旅费、国际合作与交流费预算结合科研活动实际需要编制，其中不超过直接费用10%的，不需要提供预算测算依据；不得编报不可预见费，也不得列入项目立项前发生的各项资金支出；不得简单按比例编列；对仪器设备购置、合作单位资质及拟外拨资金需做重点说明。国内协作费依据合作协议支付，不得超过到账经费的50％</w:t>
            </w:r>
          </w:p>
        </w:tc>
        <w:tc>
          <w:tcPr>
            <w:tcW w:w="1320" w:type="dxa"/>
            <w:vMerge w:val="restart"/>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可以调减不得调增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劳务费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劳务费开支标准为科研项目负责人每人每月3000元以内，高级职称科研人员每人每月2000元以内，中级职称科研人员及其他参与人员每人每月1500元以内</w:t>
            </w:r>
          </w:p>
        </w:tc>
        <w:tc>
          <w:tcPr>
            <w:tcW w:w="1320" w:type="dxa"/>
            <w:vMerge w:val="continue"/>
            <w:vAlign w:val="center"/>
          </w:tcPr>
          <w:p>
            <w:pPr>
              <w:numPr>
                <w:ilvl w:val="0"/>
                <w:numId w:val="0"/>
              </w:num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专家咨询费</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家咨询费执行标准为两院院士每人每天不高于6000元，通信咨询费每人每个科研项目不高于900元；高级专业技术职称或相当于高级专业技术职称人员每人每天不高于2000元，通信咨询费每人每个科研项目不高于300元；其他人员每人每天不高于1000元，通信咨询费每人每个科研项目不高于200元</w:t>
            </w:r>
          </w:p>
        </w:tc>
        <w:tc>
          <w:tcPr>
            <w:tcW w:w="1320" w:type="dxa"/>
            <w:vMerge w:val="continue"/>
            <w:vAlign w:val="center"/>
          </w:tcPr>
          <w:p>
            <w:pPr>
              <w:numPr>
                <w:ilvl w:val="0"/>
                <w:numId w:val="0"/>
              </w:numPr>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Merge w:val="continue"/>
            <w:vAlign w:val="center"/>
          </w:tcPr>
          <w:p>
            <w:pPr>
              <w:numPr>
                <w:ilvl w:val="0"/>
                <w:numId w:val="0"/>
              </w:numPr>
              <w:jc w:val="center"/>
              <w:rPr>
                <w:rFonts w:hint="eastAsia" w:ascii="仿宋_GB2312" w:hAnsi="仿宋_GB2312" w:eastAsia="仿宋_GB2312" w:cs="仿宋_GB2312"/>
                <w:sz w:val="24"/>
                <w:szCs w:val="24"/>
                <w:lang w:val="en-US" w:eastAsia="zh-CN"/>
              </w:rPr>
            </w:pP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其它支出</w:t>
            </w: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1320"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项目承担单位自行调剂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numPr>
                <w:ilvl w:val="0"/>
                <w:numId w:val="0"/>
              </w:numPr>
              <w:ind w:left="240" w:hanging="240" w:hangingChars="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间接 费用</w:t>
            </w:r>
          </w:p>
        </w:tc>
        <w:tc>
          <w:tcPr>
            <w:tcW w:w="2325" w:type="dxa"/>
            <w:vAlign w:val="center"/>
          </w:tcPr>
          <w:p>
            <w:pPr>
              <w:numPr>
                <w:ilvl w:val="0"/>
                <w:numId w:val="0"/>
              </w:numPr>
              <w:jc w:val="both"/>
              <w:rPr>
                <w:rFonts w:hint="eastAsia" w:ascii="仿宋_GB2312" w:hAnsi="仿宋_GB2312" w:eastAsia="仿宋_GB2312" w:cs="仿宋_GB2312"/>
                <w:sz w:val="24"/>
                <w:szCs w:val="24"/>
                <w:lang w:val="en-US" w:eastAsia="zh-CN"/>
              </w:rPr>
            </w:pPr>
          </w:p>
        </w:tc>
        <w:tc>
          <w:tcPr>
            <w:tcW w:w="5460" w:type="dxa"/>
            <w:vAlign w:val="center"/>
          </w:tcPr>
          <w:p>
            <w:pPr>
              <w:numPr>
                <w:ilvl w:val="0"/>
                <w:numId w:val="0"/>
              </w:num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间接费用实行总额控制，不得超过科研项目经费资助总额的10%，由科研项目承担单位统筹管理使用</w:t>
            </w:r>
          </w:p>
        </w:tc>
        <w:tc>
          <w:tcPr>
            <w:tcW w:w="1320" w:type="dxa"/>
            <w:vAlign w:val="center"/>
          </w:tcPr>
          <w:p>
            <w:pPr>
              <w:numPr>
                <w:ilvl w:val="0"/>
                <w:numId w:val="0"/>
              </w:numPr>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不得调整</w:t>
            </w:r>
          </w:p>
        </w:tc>
      </w:tr>
    </w:tbl>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480" w:firstLineChars="200"/>
        <w:jc w:val="both"/>
        <w:rPr>
          <w:rFonts w:hint="eastAsia"/>
          <w:sz w:val="24"/>
          <w:szCs w:val="24"/>
          <w:lang w:val="en-US"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482" w:firstLineChars="200"/>
        <w:jc w:val="both"/>
        <w:rPr>
          <w:rFonts w:hint="eastAsia"/>
          <w:b/>
          <w:bCs/>
          <w:sz w:val="24"/>
          <w:szCs w:val="24"/>
          <w:u w:val="none"/>
          <w:lang w:val="en-US" w:eastAsia="zh-CN"/>
        </w:rPr>
      </w:pPr>
      <w:r>
        <w:rPr>
          <w:rFonts w:hint="eastAsia"/>
          <w:b/>
          <w:bCs/>
          <w:sz w:val="24"/>
          <w:szCs w:val="24"/>
          <w:u w:val="none"/>
          <w:lang w:val="en-US" w:eastAsia="zh-CN"/>
        </w:rPr>
        <w:t>注：调整时由科研项目负责人向科研承担单位提出申请，单位负责人审批，并向市科技计划主管部门备案。不需要在晋中市科技计划管理信息平台做变更处理。</w:t>
      </w:r>
    </w:p>
    <w:p>
      <w:p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（二）结算方式：</w:t>
      </w:r>
      <w:r>
        <w:rPr>
          <w:rFonts w:hint="eastAsia" w:ascii="仿宋_GB2312" w:hAnsi="仿宋_GB2312" w:eastAsia="仿宋_GB2312" w:cs="仿宋_GB2312"/>
          <w:sz w:val="32"/>
          <w:szCs w:val="32"/>
        </w:rPr>
        <w:t>原则上采用非现金方式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非现金方式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科研院所、高等院校以及其他事业单位承担科研项目所发生的会议费、差旅费、小额材料费和测试化验加工费等，要按规定实行公务卡结算。企业承担的科研项目上述支出也应当采用非现金方式结算。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科研项目承担单位对设备费、大宗材料费、大额测试化验加工费、劳务费、专家咨询费等支出，应当通过银行转账方式结算。</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金方式。开展科研项目时，在涉及社会调查、访谈等过程中支付给调查、访谈对象个人的数据采集费，直接面向个人或偏远地区获得的样本采集费和从个人手中获得的购买农副产品等特殊材料支付的材料费，确实无法取得发票的，按照“按需开支、据实报销”的原则，由费用支付对象签字，有关当事人、科研项目负责人书面说明，经单位负责人审批，可凭据报销。</w:t>
      </w:r>
    </w:p>
    <w:p>
      <w:pPr>
        <w:numPr>
          <w:ilvl w:val="0"/>
          <w:numId w:val="0"/>
        </w:numPr>
        <w:ind w:leftChars="0"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（三）采购方式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科研项目经费单次购买1万元以下的计算机、打印机、照相机等设备，打印纸、存储设备、图书、文具等办公用品，硒鼓、粉盒等低值易耗用品，以及5万元以下的专用设备、专用科研试剂、专用科研用原材料等费用可以在科研项目经费中凭发票据实报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其他科研设备、科研用品等应依据《中华人民共和国政府采购法》及《晋中市政府集中采购目录及采购限额标准》等有关规定，选择便于科研活动的采购方式，严格按照政府采购程序办理。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市属高校、科研院所可自行采购科研仪器设备，自行选择科研仪器设备评审专家。市财政主管部门要简化政府采购项目预算调剂和变更政府采购方式审批流程。对进口仪器设备实行备案制管理。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640" w:firstLineChars="200"/>
        <w:jc w:val="both"/>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（四）涉税处理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640" w:firstLineChars="20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由科研项目承担单位财务部门按国家有关规定代扣代缴，或者由纳税人申报缴纳。</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（五）结余资金的处置</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研项目实施期间，年度结余资金可结转下一年度继续使用。项目完成任务目标并通过验收后，结余资金在2年内由项目承担单位统筹安排用于科研活动的直接支出；2年后未使用完的，由财政主管部门按原渠道收回。</w:t>
      </w:r>
    </w:p>
    <w:p>
      <w:pPr>
        <w:numPr>
          <w:ilvl w:val="0"/>
          <w:numId w:val="0"/>
        </w:numPr>
        <w:ind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三、《山西省科学技术奖励办法》《山西省科学技术奖励办法实施细则》</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（一）主要变化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1.实行提名制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将过去推荐制度改由专家学者、组织机构、设区的市人民政府、省人民政府有关组成部门、直属机构等提名的制度。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Chars="200" w:right="0" w:righ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2.调整奖项设置</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科学技术杰出贡献奖、自然科学奖、技术发明奖、科学技术进步奖、企业技术创新奖和科学技术合作奖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3.建立客观、定标的评审机制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确省自然科学奖、技术发明奖、科技进步奖和科学技术合作奖实行按等级标准提名、独立评审表决的机制，对一等奖、二等奖、三等奖独立投票表决，一等奖、二等奖评审落选项目不再降格参评二等奖、三等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4.调整奖励对象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将奖励对象由“公民”扩展为“个人”，为山西科技创新做出重大贡献的非中国籍专家也可获奖。</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提高奖金标准（详见附表）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（二）填报注意事项</w:t>
      </w:r>
    </w:p>
    <w:p>
      <w:pPr>
        <w:numPr>
          <w:ilvl w:val="0"/>
          <w:numId w:val="0"/>
        </w:numPr>
        <w:ind w:firstLine="640" w:firstLineChars="200"/>
        <w:jc w:val="both"/>
        <w:rPr>
          <w:rFonts w:hint="eastAsia"/>
          <w:lang w:val="en-US" w:eastAsia="zh-CN"/>
        </w:rPr>
      </w:pPr>
      <w:r>
        <w:rPr>
          <w:rFonts w:hint="eastAsia" w:ascii="仿宋" w:hAnsi="仿宋" w:eastAsia="仿宋" w:cs="仿宋"/>
          <w:sz w:val="32"/>
          <w:szCs w:val="32"/>
          <w:lang w:val="en-US" w:eastAsia="zh-CN"/>
        </w:rPr>
        <w:t>1.查新、检索报告要求:出具在半年有效期的国内外科技查新报告。</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2.成果应用注意事项:将成果应用时间由1年以上提高至2年以上。应用证明内容完整，参照报奖通知和《2018年度山西省科学技术奖励提名工作手册》。</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3.项目完成单位、完成人员及其排序要求：原则上应与项目成果评价证书或验收证书、专利证书、新药证书、新品种证书、发表的论文论著等相关证明材料相符。</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4.项目完成单位、完成人员调整或变更要求</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5.资料修改及退出</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6.项目不得提名或不予受理的情况</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7.科研诚信要求</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8.提名公示：项目主要完成人所在单位进行公示，公示</w:t>
      </w:r>
      <w:r>
        <w:rPr>
          <w:rFonts w:hint="eastAsia" w:ascii="仿宋" w:hAnsi="仿宋" w:eastAsia="仿宋" w:cs="仿宋"/>
          <w:sz w:val="32"/>
          <w:szCs w:val="32"/>
          <w:lang w:val="en-US" w:eastAsia="zh-CN"/>
        </w:rPr>
        <w:t>内容按照《2018年度山西省科学技术奖励提名工作手册》填写。</w:t>
      </w:r>
    </w:p>
    <w:p>
      <w:pPr>
        <w:pStyle w:val="2"/>
        <w:jc w:val="both"/>
        <w:rPr>
          <w:rFonts w:hint="eastAsia" w:ascii="仿宋" w:hAnsi="仿宋" w:eastAsia="仿宋" w:cs="仿宋"/>
          <w:sz w:val="32"/>
          <w:szCs w:val="32"/>
          <w:lang w:val="en-US" w:eastAsia="zh-CN"/>
        </w:rPr>
      </w:pPr>
      <w:r>
        <w:rPr>
          <w:rFonts w:hint="eastAsia" w:ascii="仿宋" w:hAnsi="仿宋" w:eastAsia="仿宋" w:cs="仿宋"/>
          <w:b w:val="0"/>
          <w:kern w:val="2"/>
          <w:sz w:val="32"/>
          <w:szCs w:val="32"/>
          <w:lang w:val="en-US" w:eastAsia="zh-CN" w:bidi="ar-SA"/>
        </w:rPr>
        <w:t>附件：山西省科学技术奖励要点</w:t>
      </w:r>
      <w:bookmarkStart w:id="0" w:name="_GoBack"/>
      <w:bookmarkEnd w:id="0"/>
    </w:p>
    <w:sectPr>
      <w:footerReference r:id="rId3" w:type="default"/>
      <w:pgSz w:w="11906" w:h="16838"/>
      <w:pgMar w:top="1417" w:right="1304" w:bottom="141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0245"/>
    <w:multiLevelType w:val="singleLevel"/>
    <w:tmpl w:val="1EBA0245"/>
    <w:lvl w:ilvl="0" w:tentative="0">
      <w:start w:val="5"/>
      <w:numFmt w:val="decimal"/>
      <w:lvlText w:val="%1."/>
      <w:lvlJc w:val="left"/>
      <w:pPr>
        <w:tabs>
          <w:tab w:val="left" w:pos="312"/>
        </w:tabs>
      </w:pPr>
    </w:lvl>
  </w:abstractNum>
  <w:abstractNum w:abstractNumId="1">
    <w:nsid w:val="7F166607"/>
    <w:multiLevelType w:val="singleLevel"/>
    <w:tmpl w:val="7F16660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308E"/>
    <w:rsid w:val="01772CA1"/>
    <w:rsid w:val="046539B1"/>
    <w:rsid w:val="06047710"/>
    <w:rsid w:val="07A96301"/>
    <w:rsid w:val="07DE21FB"/>
    <w:rsid w:val="07F93905"/>
    <w:rsid w:val="08F60345"/>
    <w:rsid w:val="0E7B51B3"/>
    <w:rsid w:val="0EE3690E"/>
    <w:rsid w:val="11B173E3"/>
    <w:rsid w:val="11D26689"/>
    <w:rsid w:val="126F772C"/>
    <w:rsid w:val="12D37874"/>
    <w:rsid w:val="13BD52A1"/>
    <w:rsid w:val="13C33835"/>
    <w:rsid w:val="13CD42CD"/>
    <w:rsid w:val="14E746D1"/>
    <w:rsid w:val="15F06763"/>
    <w:rsid w:val="173A6824"/>
    <w:rsid w:val="19E86CE9"/>
    <w:rsid w:val="1A325AD9"/>
    <w:rsid w:val="1DE046E3"/>
    <w:rsid w:val="1EFA542F"/>
    <w:rsid w:val="1F5D1669"/>
    <w:rsid w:val="25FC5786"/>
    <w:rsid w:val="26BC004D"/>
    <w:rsid w:val="29E77938"/>
    <w:rsid w:val="2E1737E3"/>
    <w:rsid w:val="344F4752"/>
    <w:rsid w:val="3ABE6990"/>
    <w:rsid w:val="3D331B47"/>
    <w:rsid w:val="3E2E29A4"/>
    <w:rsid w:val="3EB069B2"/>
    <w:rsid w:val="3F7853B1"/>
    <w:rsid w:val="40560E66"/>
    <w:rsid w:val="410668FE"/>
    <w:rsid w:val="41570B37"/>
    <w:rsid w:val="440A3E35"/>
    <w:rsid w:val="44D5236A"/>
    <w:rsid w:val="459D1FF4"/>
    <w:rsid w:val="47924C41"/>
    <w:rsid w:val="487A473D"/>
    <w:rsid w:val="48F64DB2"/>
    <w:rsid w:val="49620087"/>
    <w:rsid w:val="4D164D83"/>
    <w:rsid w:val="4E706319"/>
    <w:rsid w:val="502A1374"/>
    <w:rsid w:val="523C0A30"/>
    <w:rsid w:val="539F48DA"/>
    <w:rsid w:val="555E2865"/>
    <w:rsid w:val="568A3EB4"/>
    <w:rsid w:val="58C224ED"/>
    <w:rsid w:val="5D405600"/>
    <w:rsid w:val="5E9F4A96"/>
    <w:rsid w:val="5F691721"/>
    <w:rsid w:val="601066FA"/>
    <w:rsid w:val="60711073"/>
    <w:rsid w:val="60C31087"/>
    <w:rsid w:val="61206A07"/>
    <w:rsid w:val="612B718A"/>
    <w:rsid w:val="61781BBD"/>
    <w:rsid w:val="62634F29"/>
    <w:rsid w:val="6668158D"/>
    <w:rsid w:val="69233172"/>
    <w:rsid w:val="69353784"/>
    <w:rsid w:val="6A96513B"/>
    <w:rsid w:val="6B7C6F6A"/>
    <w:rsid w:val="6B8A01E4"/>
    <w:rsid w:val="6CBD4502"/>
    <w:rsid w:val="6CEC2AE3"/>
    <w:rsid w:val="6DF2695D"/>
    <w:rsid w:val="72463F93"/>
    <w:rsid w:val="741D4FA5"/>
    <w:rsid w:val="74C300CB"/>
    <w:rsid w:val="766B26C3"/>
    <w:rsid w:val="77EC6CD5"/>
    <w:rsid w:val="79AD0BE9"/>
    <w:rsid w:val="7BCB2968"/>
    <w:rsid w:val="7C273A8D"/>
    <w:rsid w:val="7CE935B6"/>
    <w:rsid w:val="7E5A5350"/>
    <w:rsid w:val="7EF2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五毛</cp:lastModifiedBy>
  <cp:lastPrinted>2018-10-25T06:58:00Z</cp:lastPrinted>
  <dcterms:modified xsi:type="dcterms:W3CDTF">2018-10-26T08:14:36Z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