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市科技局双随机一公开工作的实施细则</w:t>
      </w:r>
    </w:p>
    <w:p>
      <w:pPr>
        <w:jc w:val="center"/>
        <w:rPr>
          <w:rFonts w:hint="eastAsia" w:ascii="宋体" w:hAnsi="宋体" w:cs="Arial"/>
          <w:b/>
          <w:bCs/>
          <w:color w:val="444444"/>
          <w:kern w:val="0"/>
          <w:sz w:val="44"/>
          <w:szCs w:val="44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为加快推进</w:t>
      </w:r>
      <w:r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  <w:t>事中事后监管工作，开展“双随机、一公开”监管模式，</w:t>
      </w:r>
      <w:r>
        <w:rPr>
          <w:rFonts w:hint="eastAsia" w:ascii="仿宋_GB2312" w:hAnsi="宋体" w:eastAsia="仿宋_GB2312"/>
          <w:sz w:val="32"/>
          <w:szCs w:val="32"/>
        </w:rPr>
        <w:t>按照国务院和省市“双随机一公开”监管工作的要求，根据部门实际情况，制定本《实施细则》。</w:t>
      </w:r>
    </w:p>
    <w:p>
      <w:pPr>
        <w:widowControl/>
        <w:ind w:firstLine="640" w:firstLineChars="200"/>
        <w:jc w:val="left"/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  <w:t>【定义】“双随机、一公开”监管模式是指科技局管理专利工作的部门开展专利行政执法检查时，采取随机方式抽取被检查对象，采取随机方式选派执法检查人员，及时公开检查结果。</w:t>
      </w:r>
    </w:p>
    <w:p>
      <w:pPr>
        <w:widowControl/>
        <w:ind w:firstLine="640" w:firstLineChars="200"/>
        <w:jc w:val="left"/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</w:t>
      </w:r>
      <w:r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  <w:t>【原则】“双随机、一公开”的实施原则是：规范执行，及时反馈，公开、公正、透明化运作。</w:t>
      </w:r>
    </w:p>
    <w:p>
      <w:pPr>
        <w:widowControl/>
        <w:ind w:firstLine="640" w:firstLineChars="200"/>
        <w:jc w:val="left"/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</w:t>
      </w:r>
      <w:r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  <w:t>【清单的制定和公布】根据市政府公布的权责清单，梳理依法应当实施的监督检查职责</w:t>
      </w:r>
      <w:r>
        <w:rPr>
          <w:rFonts w:ascii="仿宋_GB2312" w:hAnsi="Arial" w:eastAsia="仿宋_GB2312" w:cs="Arial"/>
          <w:color w:val="444444"/>
          <w:kern w:val="0"/>
          <w:sz w:val="32"/>
          <w:szCs w:val="32"/>
        </w:rPr>
        <w:t>—</w:t>
      </w:r>
      <w:r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  <w:t>查处假冒专利行为，制定随机抽查事项清单，明确事项名称、内容、依据等，通过晋中市科技信息网向社会公示。</w:t>
      </w:r>
    </w:p>
    <w:p>
      <w:pPr>
        <w:widowControl/>
        <w:ind w:firstLine="640" w:firstLineChars="200"/>
        <w:jc w:val="left"/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  <w:t>四、【执法人员库】根据国家知识产权局核发的“专利行政执法证”，建立专利执法检查人员名录库，在晋中市科技信息网站上对外公示。执法检查人员名录库随人员单位变动、岗位调整等因素给予动态调整。</w:t>
      </w:r>
    </w:p>
    <w:p>
      <w:pPr>
        <w:widowControl/>
        <w:jc w:val="left"/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  <w:t>　  执法检查人员名录库，应当明确执法人员的身份信息：姓名、单位、性别、执法证号、执法地域等情况。</w:t>
      </w:r>
    </w:p>
    <w:p>
      <w:pPr>
        <w:widowControl/>
        <w:ind w:firstLine="640" w:firstLineChars="200"/>
        <w:jc w:val="left"/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  <w:t>五、【企业库】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根据国家企业信用信息公示系统，建立</w:t>
      </w:r>
      <w:r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  <w:t>本辖区(山西省晋中市)的检查企业名录库。检查企业名录库依据企业生存状态，动态确定抽查频次，动态调整。</w:t>
      </w:r>
    </w:p>
    <w:p>
      <w:pPr>
        <w:widowControl/>
        <w:ind w:firstLine="640" w:firstLineChars="200"/>
        <w:jc w:val="left"/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  <w:t>七、【计划的制定和发布】科技局依照法律法规规章规定，结合日常监督管理需要，定期或不定期通过“晋中市科技信息网”公布检查计划。</w:t>
      </w:r>
    </w:p>
    <w:p>
      <w:pPr>
        <w:widowControl/>
        <w:ind w:firstLine="640" w:firstLineChars="200"/>
        <w:jc w:val="left"/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  <w:t>八、【计划的要求】检查计划，应当包括被检查对象的范围、对执法检查人员的要求、抽查的比例和频次、实施检查的时间等。制定年度检查计划，要保证必要的被检查对象覆盖面，保证必要的监管力度，同时防止过度检查。对于守信企业，在抽取时可予以不抽查或降低抽查次数。</w:t>
      </w:r>
    </w:p>
    <w:p>
      <w:pPr>
        <w:widowControl/>
        <w:ind w:firstLine="640" w:firstLineChars="200"/>
        <w:jc w:val="left"/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  <w:t>九、【计划的实施】科技局实施年度检查计划，采取随机抽取的方式，从检查企业名录库中确定被检查对象，从专利执法人员名录库中确定执法检查人员。</w:t>
      </w:r>
    </w:p>
    <w:p>
      <w:pPr>
        <w:widowControl/>
        <w:ind w:firstLine="640" w:firstLineChars="200"/>
        <w:jc w:val="left"/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  <w:t>执法检查人员与被检查对象有利害关系的，应依法回避。回避可采取与其他执法检查人员交换被检查对象的方式，也可以采取不参与本次执法检查的方式。确定不参与本次执法检查的，另行抽取替代执法检查人员。</w:t>
      </w:r>
    </w:p>
    <w:p>
      <w:pPr>
        <w:widowControl/>
        <w:ind w:firstLine="640" w:firstLineChars="200"/>
        <w:jc w:val="left"/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  <w:t>十、【被检查对象的抽取】依据有关法律法规规定，确定“双随机”抽查比例和频次的情形，依法开展抽查。上级没有授权抽查的，严格按照上级安排部署的“双随机”抽查，做好检查工作。</w:t>
      </w:r>
    </w:p>
    <w:p>
      <w:pPr>
        <w:widowControl/>
        <w:ind w:firstLine="640" w:firstLineChars="200"/>
        <w:jc w:val="left"/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  <w:t>十一、【检查方式】抽查可以采取实地检查、书面检查和网络监测等方式，注重云计算和大数据等信息化手段。</w:t>
      </w:r>
    </w:p>
    <w:p>
      <w:pPr>
        <w:widowControl/>
        <w:ind w:firstLine="640" w:firstLineChars="200"/>
        <w:jc w:val="left"/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  <w:t>十二、【检查结果的公示】管理专利工作的部门在对单个被检查对象的检查工作结束后5个工作日内，完成检查报告，并向被检查对象反馈检查结果。检查报告应当包括检查时间、检查内容、检查情况、对被检查人评价，以及处理意见和建议等内容，并通过“晋中市科技信息网”向社会进行公示。反馈检查结果，可以采取直接送达、邮寄送达的方式。</w:t>
      </w:r>
    </w:p>
    <w:p>
      <w:pPr>
        <w:widowControl/>
        <w:ind w:firstLine="640" w:firstLineChars="200"/>
        <w:jc w:val="left"/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  <w:t>十三、【企业监督】被检查对象在收到书面反馈的检查结果后10个工作日内，可以通过晋中市科技局监察室，反馈对管理专利工作的部门及执法检查人员的意见建议。</w:t>
      </w:r>
    </w:p>
    <w:p>
      <w:pPr>
        <w:widowControl/>
        <w:ind w:firstLine="640" w:firstLineChars="200"/>
        <w:jc w:val="left"/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  <w:t>十四、【纪律要求】科技局管理专利工作的部门开展“双随机、一公开”工作，应当严格遵守法律法规规章制度，遵守工作纪律，依法行政、廉洁执法。</w:t>
      </w:r>
    </w:p>
    <w:p>
      <w:pPr>
        <w:widowControl/>
        <w:jc w:val="left"/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  <w:t>　　十五、 【责任承担】科技局专利行政执法人员不依照本《实施细则》开展“双随机、一公开”工作，造成严重后果的，依法依纪追究责任。</w:t>
      </w:r>
    </w:p>
    <w:p>
      <w:pPr>
        <w:widowControl/>
        <w:jc w:val="left"/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D2D17"/>
    <w:rsid w:val="02CD2D17"/>
    <w:rsid w:val="77A53B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rFonts w:ascii="Calibri" w:hAnsi="Calibri" w:eastAsia="宋体" w:cs="Calibri"/>
      <w:sz w:val="36"/>
      <w:szCs w:val="18"/>
    </w:rPr>
  </w:style>
  <w:style w:type="character" w:customStyle="1" w:styleId="5">
    <w:name w:val="Balloon Text Char"/>
    <w:basedOn w:val="3"/>
    <w:link w:val="2"/>
    <w:semiHidden/>
    <w:qFormat/>
    <w:locked/>
    <w:uiPriority w:val="99"/>
    <w:rPr>
      <w:rFonts w:ascii="Calibri" w:hAnsi="Calibri" w:eastAsia="宋体" w:cs="Calibri"/>
      <w:sz w:val="36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2016-12-22T07:34:00Z</dcterms:created>
  <dc:creator>904wxq</dc:creator>
  <cp:lastModifiedBy>904wxq</cp:lastModifiedBy>
  <dcterms:modified xsi:type="dcterms:W3CDTF">2016-12-22T07:34:42Z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